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4024" w14:textId="48BFFB20" w:rsidR="00BD0AA0" w:rsidRPr="00BD0AA0" w:rsidRDefault="00D64117" w:rsidP="000A401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E57B2">
        <w:rPr>
          <w:rFonts w:cstheme="minorHAnsi"/>
          <w:b/>
          <w:bCs/>
          <w:sz w:val="24"/>
          <w:szCs w:val="24"/>
        </w:rPr>
        <w:tab/>
      </w:r>
      <w:r w:rsidR="00BD0AA0" w:rsidRPr="00BD0AA0">
        <w:rPr>
          <w:rFonts w:cstheme="minorHAnsi"/>
          <w:sz w:val="24"/>
          <w:szCs w:val="24"/>
        </w:rPr>
        <w:t xml:space="preserve">Bologna, </w:t>
      </w:r>
      <w:r w:rsidR="003E57B2">
        <w:rPr>
          <w:rFonts w:cstheme="minorHAnsi"/>
          <w:sz w:val="24"/>
          <w:szCs w:val="24"/>
        </w:rPr>
        <w:t>2 febbraio 2021</w:t>
      </w:r>
    </w:p>
    <w:p w14:paraId="189258B5" w14:textId="77777777" w:rsidR="00BD0AA0" w:rsidRPr="00BD0AA0" w:rsidRDefault="00BD0AA0" w:rsidP="003E57B2">
      <w:pPr>
        <w:spacing w:after="120"/>
        <w:jc w:val="right"/>
        <w:rPr>
          <w:rFonts w:cstheme="minorHAnsi"/>
          <w:sz w:val="24"/>
          <w:szCs w:val="24"/>
        </w:rPr>
      </w:pPr>
      <w:r w:rsidRPr="00BD0AA0">
        <w:rPr>
          <w:rFonts w:cstheme="minorHAnsi"/>
          <w:sz w:val="24"/>
          <w:szCs w:val="24"/>
        </w:rPr>
        <w:t>Alla Presidente</w:t>
      </w:r>
    </w:p>
    <w:p w14:paraId="4161D100" w14:textId="77777777" w:rsidR="00BD0AA0" w:rsidRPr="00BD0AA0" w:rsidRDefault="00BD0AA0" w:rsidP="003E57B2">
      <w:pPr>
        <w:spacing w:after="120"/>
        <w:jc w:val="right"/>
        <w:rPr>
          <w:rFonts w:cstheme="minorHAnsi"/>
          <w:sz w:val="24"/>
          <w:szCs w:val="24"/>
        </w:rPr>
      </w:pPr>
      <w:r w:rsidRPr="00BD0AA0">
        <w:rPr>
          <w:rFonts w:cstheme="minorHAnsi"/>
          <w:sz w:val="24"/>
          <w:szCs w:val="24"/>
        </w:rPr>
        <w:t>dell'Assemblea legislativa</w:t>
      </w:r>
    </w:p>
    <w:p w14:paraId="5965201A" w14:textId="609BBE25" w:rsidR="00D64117" w:rsidRPr="00BD0AA0" w:rsidRDefault="00BD0AA0" w:rsidP="003E57B2">
      <w:pPr>
        <w:spacing w:after="120"/>
        <w:jc w:val="right"/>
        <w:rPr>
          <w:rFonts w:cstheme="minorHAnsi"/>
          <w:sz w:val="24"/>
          <w:szCs w:val="24"/>
        </w:rPr>
      </w:pPr>
      <w:r w:rsidRPr="00BD0AA0">
        <w:rPr>
          <w:rFonts w:cstheme="minorHAnsi"/>
          <w:sz w:val="24"/>
          <w:szCs w:val="24"/>
        </w:rPr>
        <w:t>SEDE</w:t>
      </w:r>
    </w:p>
    <w:p w14:paraId="0431A14A" w14:textId="4495990A" w:rsidR="009279BD" w:rsidRDefault="009279BD" w:rsidP="009279B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Interrogazione a risposta orale in Commissione</w:t>
      </w:r>
    </w:p>
    <w:p w14:paraId="2B8ED5CC" w14:textId="4A3F9485" w:rsidR="00BA36C4" w:rsidRDefault="00BA36C4" w:rsidP="009279B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GRUPPI ASSEMBLEARI DELLA REGIONE EMILIA-ROMAGNA</w:t>
      </w:r>
    </w:p>
    <w:p w14:paraId="7D4517B0" w14:textId="77777777" w:rsidR="00BA36C4" w:rsidRDefault="00BA36C4">
      <w:pPr>
        <w:rPr>
          <w:rFonts w:cstheme="minorHAnsi"/>
          <w:b/>
          <w:bCs/>
          <w:sz w:val="24"/>
          <w:szCs w:val="24"/>
        </w:rPr>
      </w:pPr>
    </w:p>
    <w:p w14:paraId="317C5770" w14:textId="5A6FC6E7" w:rsidR="0096651E" w:rsidRDefault="00BA36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  <w:r w:rsidR="00A93519" w:rsidRPr="00D23AED">
        <w:rPr>
          <w:rFonts w:cstheme="minorHAnsi"/>
          <w:b/>
          <w:bCs/>
          <w:sz w:val="24"/>
          <w:szCs w:val="24"/>
        </w:rPr>
        <w:t xml:space="preserve">Premesso che </w:t>
      </w:r>
    </w:p>
    <w:p w14:paraId="3F4B23A6" w14:textId="2F15CF88" w:rsidR="002B0D9B" w:rsidRDefault="00D23AED" w:rsidP="000C3F7B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color w:val="0F0F0F"/>
          <w:sz w:val="24"/>
          <w:szCs w:val="24"/>
        </w:rPr>
      </w:pPr>
      <w:r w:rsidRPr="00D23AED">
        <w:rPr>
          <w:rFonts w:cstheme="minorHAnsi"/>
          <w:color w:val="0F0F0F"/>
          <w:sz w:val="24"/>
          <w:szCs w:val="24"/>
        </w:rPr>
        <w:t xml:space="preserve">i dati appena diffusi nella stima provvisoria Istat sul mercato del lavoro </w:t>
      </w:r>
      <w:r w:rsidR="002B0D9B">
        <w:rPr>
          <w:rFonts w:cstheme="minorHAnsi"/>
          <w:color w:val="0F0F0F"/>
          <w:sz w:val="24"/>
          <w:szCs w:val="24"/>
        </w:rPr>
        <w:t xml:space="preserve">in Italia </w:t>
      </w:r>
      <w:r w:rsidRPr="00D23AED">
        <w:rPr>
          <w:rFonts w:cstheme="minorHAnsi"/>
          <w:color w:val="0F0F0F"/>
          <w:sz w:val="24"/>
          <w:szCs w:val="24"/>
        </w:rPr>
        <w:t xml:space="preserve">fotografano l’impatto </w:t>
      </w:r>
      <w:r w:rsidR="002B0D9B">
        <w:rPr>
          <w:rFonts w:cstheme="minorHAnsi"/>
          <w:color w:val="0F0F0F"/>
          <w:sz w:val="24"/>
          <w:szCs w:val="24"/>
        </w:rPr>
        <w:t>disastroso che ha avuto l</w:t>
      </w:r>
      <w:r w:rsidRPr="00D23AED">
        <w:rPr>
          <w:rFonts w:cstheme="minorHAnsi"/>
          <w:color w:val="0F0F0F"/>
          <w:sz w:val="24"/>
          <w:szCs w:val="24"/>
        </w:rPr>
        <w:t>a pandemia</w:t>
      </w:r>
      <w:r w:rsidR="002B0D9B">
        <w:rPr>
          <w:rFonts w:cstheme="minorHAnsi"/>
          <w:color w:val="0F0F0F"/>
          <w:sz w:val="24"/>
          <w:szCs w:val="24"/>
        </w:rPr>
        <w:t xml:space="preserve"> da coronavirus</w:t>
      </w:r>
      <w:r w:rsidRPr="00D23AED">
        <w:rPr>
          <w:rFonts w:cstheme="minorHAnsi"/>
          <w:color w:val="0F0F0F"/>
          <w:sz w:val="24"/>
          <w:szCs w:val="24"/>
        </w:rPr>
        <w:t xml:space="preserve">: da febbraio 2020 a dicembre 2020 l’occupazione è calata di ben 426mila </w:t>
      </w:r>
      <w:r w:rsidR="002B0D9B">
        <w:rPr>
          <w:rFonts w:cstheme="minorHAnsi"/>
          <w:color w:val="0F0F0F"/>
          <w:sz w:val="24"/>
          <w:szCs w:val="24"/>
        </w:rPr>
        <w:t>unità, n</w:t>
      </w:r>
      <w:r w:rsidRPr="00D23AED">
        <w:rPr>
          <w:rFonts w:cstheme="minorHAnsi"/>
          <w:color w:val="0F0F0F"/>
          <w:sz w:val="24"/>
          <w:szCs w:val="24"/>
        </w:rPr>
        <w:t xml:space="preserve">onostante </w:t>
      </w:r>
      <w:r w:rsidR="002B0D9B">
        <w:rPr>
          <w:rFonts w:cstheme="minorHAnsi"/>
          <w:color w:val="0F0F0F"/>
          <w:sz w:val="24"/>
          <w:szCs w:val="24"/>
        </w:rPr>
        <w:t xml:space="preserve">il </w:t>
      </w:r>
      <w:r w:rsidRPr="00D23AED">
        <w:rPr>
          <w:rFonts w:cstheme="minorHAnsi"/>
          <w:color w:val="0F0F0F"/>
          <w:sz w:val="24"/>
          <w:szCs w:val="24"/>
        </w:rPr>
        <w:t xml:space="preserve">blocco dei licenziamenti in vigore, ininterrottamente, da metà marzo 2020 e </w:t>
      </w:r>
      <w:r w:rsidR="002B0D9B">
        <w:rPr>
          <w:rFonts w:cstheme="minorHAnsi"/>
          <w:color w:val="0F0F0F"/>
          <w:sz w:val="24"/>
          <w:szCs w:val="24"/>
        </w:rPr>
        <w:t xml:space="preserve">la </w:t>
      </w:r>
      <w:proofErr w:type="spellStart"/>
      <w:r w:rsidRPr="00D23AED">
        <w:rPr>
          <w:rFonts w:cstheme="minorHAnsi"/>
          <w:color w:val="0F0F0F"/>
          <w:sz w:val="24"/>
          <w:szCs w:val="24"/>
        </w:rPr>
        <w:t>cig</w:t>
      </w:r>
      <w:proofErr w:type="spellEnd"/>
      <w:r w:rsidRPr="00D23AED">
        <w:rPr>
          <w:rFonts w:cstheme="minorHAnsi"/>
          <w:color w:val="0F0F0F"/>
          <w:sz w:val="24"/>
          <w:szCs w:val="24"/>
        </w:rPr>
        <w:t xml:space="preserve"> Covid-19 estesa </w:t>
      </w:r>
      <w:r w:rsidR="002B0D9B">
        <w:rPr>
          <w:rFonts w:cstheme="minorHAnsi"/>
          <w:color w:val="0F0F0F"/>
          <w:sz w:val="24"/>
          <w:szCs w:val="24"/>
        </w:rPr>
        <w:t xml:space="preserve">quasi </w:t>
      </w:r>
      <w:r w:rsidRPr="00D23AED">
        <w:rPr>
          <w:rFonts w:cstheme="minorHAnsi"/>
          <w:color w:val="0F0F0F"/>
          <w:sz w:val="24"/>
          <w:szCs w:val="24"/>
        </w:rPr>
        <w:t>a tutti</w:t>
      </w:r>
      <w:r w:rsidR="00837D80">
        <w:rPr>
          <w:rFonts w:cstheme="minorHAnsi"/>
          <w:color w:val="0F0F0F"/>
          <w:sz w:val="24"/>
          <w:szCs w:val="24"/>
        </w:rPr>
        <w:t>;</w:t>
      </w:r>
      <w:r w:rsidRPr="00D23AED">
        <w:rPr>
          <w:rFonts w:cstheme="minorHAnsi"/>
          <w:color w:val="0F0F0F"/>
          <w:sz w:val="24"/>
          <w:szCs w:val="24"/>
        </w:rPr>
        <w:t xml:space="preserve"> </w:t>
      </w:r>
    </w:p>
    <w:p w14:paraId="111ACED7" w14:textId="77777777" w:rsidR="002B0D9B" w:rsidRDefault="002B0D9B" w:rsidP="002B0D9B">
      <w:pPr>
        <w:pStyle w:val="Paragrafoelenco"/>
        <w:jc w:val="both"/>
        <w:rPr>
          <w:rFonts w:cstheme="minorHAnsi"/>
          <w:color w:val="0F0F0F"/>
          <w:sz w:val="24"/>
          <w:szCs w:val="24"/>
        </w:rPr>
      </w:pPr>
    </w:p>
    <w:p w14:paraId="6BB465B0" w14:textId="77777777" w:rsidR="002430AE" w:rsidRDefault="00837D80" w:rsidP="000C3F7B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color w:val="0F0F0F"/>
          <w:sz w:val="24"/>
          <w:szCs w:val="24"/>
        </w:rPr>
      </w:pPr>
      <w:r>
        <w:rPr>
          <w:rFonts w:cstheme="minorHAnsi"/>
          <w:color w:val="0F0F0F"/>
          <w:sz w:val="24"/>
          <w:szCs w:val="24"/>
        </w:rPr>
        <w:t>i</w:t>
      </w:r>
      <w:r w:rsidR="002B0D9B">
        <w:rPr>
          <w:rFonts w:cstheme="minorHAnsi"/>
          <w:color w:val="0F0F0F"/>
          <w:sz w:val="24"/>
          <w:szCs w:val="24"/>
        </w:rPr>
        <w:t>n questo contesto, a</w:t>
      </w:r>
      <w:r w:rsidR="00D23AED" w:rsidRPr="00D23AED">
        <w:rPr>
          <w:rFonts w:cstheme="minorHAnsi"/>
          <w:color w:val="0F0F0F"/>
          <w:sz w:val="24"/>
          <w:szCs w:val="24"/>
        </w:rPr>
        <w:t xml:space="preserve"> pagare il conto più salato sono state le donne, la fascia centrale d’età 25-49 anni, gli autonomi e i rapporti </w:t>
      </w:r>
      <w:r w:rsidR="002B0D9B">
        <w:rPr>
          <w:rFonts w:cstheme="minorHAnsi"/>
          <w:color w:val="0F0F0F"/>
          <w:sz w:val="24"/>
          <w:szCs w:val="24"/>
        </w:rPr>
        <w:t xml:space="preserve">di lavoro </w:t>
      </w:r>
      <w:r w:rsidR="00D23AED" w:rsidRPr="00D23AED">
        <w:rPr>
          <w:rFonts w:cstheme="minorHAnsi"/>
          <w:color w:val="0F0F0F"/>
          <w:sz w:val="24"/>
          <w:szCs w:val="24"/>
        </w:rPr>
        <w:t>a tempo determinato</w:t>
      </w:r>
      <w:r w:rsidR="009B543C">
        <w:rPr>
          <w:rFonts w:cstheme="minorHAnsi"/>
          <w:color w:val="0F0F0F"/>
          <w:sz w:val="24"/>
          <w:szCs w:val="24"/>
        </w:rPr>
        <w:t xml:space="preserve">, </w:t>
      </w:r>
      <w:r w:rsidR="00293D3D">
        <w:rPr>
          <w:rFonts w:cstheme="minorHAnsi"/>
          <w:color w:val="0F0F0F"/>
          <w:sz w:val="24"/>
          <w:szCs w:val="24"/>
        </w:rPr>
        <w:t xml:space="preserve">con la perdita </w:t>
      </w:r>
      <w:r w:rsidR="00A601D6">
        <w:rPr>
          <w:rFonts w:cstheme="minorHAnsi"/>
          <w:color w:val="0F0F0F"/>
          <w:sz w:val="24"/>
          <w:szCs w:val="24"/>
        </w:rPr>
        <w:t xml:space="preserve">di ben 99.000 posti lavoro femminili </w:t>
      </w:r>
      <w:r w:rsidR="00D8098D">
        <w:rPr>
          <w:rFonts w:cstheme="minorHAnsi"/>
          <w:color w:val="0F0F0F"/>
          <w:sz w:val="24"/>
          <w:szCs w:val="24"/>
        </w:rPr>
        <w:t>(</w:t>
      </w:r>
      <w:r w:rsidR="00D8098D" w:rsidRPr="00D8098D">
        <w:rPr>
          <w:rFonts w:cstheme="minorHAnsi"/>
          <w:color w:val="0F0F0F"/>
          <w:sz w:val="24"/>
          <w:szCs w:val="24"/>
        </w:rPr>
        <w:t>quasi interamente giovani e under50</w:t>
      </w:r>
      <w:r w:rsidR="00D8098D">
        <w:rPr>
          <w:rFonts w:cstheme="minorHAnsi"/>
          <w:color w:val="0F0F0F"/>
          <w:sz w:val="24"/>
          <w:szCs w:val="24"/>
        </w:rPr>
        <w:t xml:space="preserve">) </w:t>
      </w:r>
      <w:r w:rsidR="007474BD">
        <w:rPr>
          <w:rFonts w:cstheme="minorHAnsi"/>
          <w:color w:val="0F0F0F"/>
          <w:sz w:val="24"/>
          <w:szCs w:val="24"/>
        </w:rPr>
        <w:t xml:space="preserve">su </w:t>
      </w:r>
      <w:r w:rsidR="00A601D6" w:rsidRPr="00A601D6">
        <w:rPr>
          <w:rFonts w:cstheme="minorHAnsi"/>
          <w:color w:val="0F0F0F"/>
          <w:sz w:val="24"/>
          <w:szCs w:val="24"/>
        </w:rPr>
        <w:t>101mila posti</w:t>
      </w:r>
      <w:r w:rsidR="002B0D9B">
        <w:rPr>
          <w:rFonts w:cstheme="minorHAnsi"/>
          <w:color w:val="0F0F0F"/>
          <w:sz w:val="24"/>
          <w:szCs w:val="24"/>
        </w:rPr>
        <w:t xml:space="preserve"> </w:t>
      </w:r>
      <w:r w:rsidR="007474BD">
        <w:rPr>
          <w:rFonts w:cstheme="minorHAnsi"/>
          <w:color w:val="0F0F0F"/>
          <w:sz w:val="24"/>
          <w:szCs w:val="24"/>
        </w:rPr>
        <w:t>totali perduti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nel mese di dicembre 2020</w:t>
      </w:r>
      <w:r w:rsidR="00D8098D">
        <w:rPr>
          <w:rFonts w:cstheme="minorHAnsi"/>
          <w:color w:val="0F0F0F"/>
          <w:sz w:val="24"/>
          <w:szCs w:val="24"/>
        </w:rPr>
        <w:t xml:space="preserve">; </w:t>
      </w:r>
    </w:p>
    <w:p w14:paraId="02ADF066" w14:textId="77777777" w:rsidR="002430AE" w:rsidRPr="002430AE" w:rsidRDefault="002430AE" w:rsidP="002430AE">
      <w:pPr>
        <w:pStyle w:val="Paragrafoelenco"/>
        <w:rPr>
          <w:rFonts w:cstheme="minorHAnsi"/>
          <w:color w:val="0F0F0F"/>
          <w:sz w:val="24"/>
          <w:szCs w:val="24"/>
        </w:rPr>
      </w:pPr>
    </w:p>
    <w:p w14:paraId="4EA6E690" w14:textId="4D4C6075" w:rsidR="00D23AED" w:rsidRPr="002B0D9B" w:rsidRDefault="005325BC" w:rsidP="000C3F7B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color w:val="0F0F0F"/>
          <w:sz w:val="24"/>
          <w:szCs w:val="24"/>
        </w:rPr>
      </w:pPr>
      <w:r>
        <w:rPr>
          <w:rFonts w:cstheme="minorHAnsi"/>
          <w:color w:val="0F0F0F"/>
          <w:sz w:val="24"/>
          <w:szCs w:val="24"/>
        </w:rPr>
        <w:t>più in generale</w:t>
      </w:r>
      <w:r w:rsidR="002B0D9B">
        <w:rPr>
          <w:rFonts w:cstheme="minorHAnsi"/>
          <w:color w:val="0F0F0F"/>
          <w:sz w:val="24"/>
          <w:szCs w:val="24"/>
        </w:rPr>
        <w:t xml:space="preserve">, da </w:t>
      </w:r>
      <w:r w:rsidR="00D23AED" w:rsidRPr="002B0D9B">
        <w:rPr>
          <w:rFonts w:cstheme="minorHAnsi"/>
          <w:color w:val="0F0F0F"/>
          <w:sz w:val="24"/>
          <w:szCs w:val="24"/>
        </w:rPr>
        <w:t>dicembre 20</w:t>
      </w:r>
      <w:r w:rsidR="002B0D9B">
        <w:rPr>
          <w:rFonts w:cstheme="minorHAnsi"/>
          <w:color w:val="0F0F0F"/>
          <w:sz w:val="24"/>
          <w:szCs w:val="24"/>
        </w:rPr>
        <w:t>19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</w:t>
      </w:r>
      <w:r w:rsidR="002B0D9B">
        <w:rPr>
          <w:rFonts w:cstheme="minorHAnsi"/>
          <w:color w:val="0F0F0F"/>
          <w:sz w:val="24"/>
          <w:szCs w:val="24"/>
        </w:rPr>
        <w:t>a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dicembre 20</w:t>
      </w:r>
      <w:r w:rsidR="002B0D9B">
        <w:rPr>
          <w:rFonts w:cstheme="minorHAnsi"/>
          <w:color w:val="0F0F0F"/>
          <w:sz w:val="24"/>
          <w:szCs w:val="24"/>
        </w:rPr>
        <w:t>20,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</w:t>
      </w:r>
      <w:r w:rsidR="002B0D9B">
        <w:rPr>
          <w:rFonts w:cstheme="minorHAnsi"/>
          <w:color w:val="0F0F0F"/>
          <w:sz w:val="24"/>
          <w:szCs w:val="24"/>
        </w:rPr>
        <w:t>si sono persi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444mila </w:t>
      </w:r>
      <w:r w:rsidR="002B0D9B">
        <w:rPr>
          <w:rFonts w:cstheme="minorHAnsi"/>
          <w:color w:val="0F0F0F"/>
          <w:sz w:val="24"/>
          <w:szCs w:val="24"/>
        </w:rPr>
        <w:t>posti di lavoro</w:t>
      </w:r>
      <w:r w:rsidR="00D23AED" w:rsidRPr="002B0D9B">
        <w:rPr>
          <w:rFonts w:cstheme="minorHAnsi"/>
          <w:color w:val="0F0F0F"/>
          <w:sz w:val="24"/>
          <w:szCs w:val="24"/>
        </w:rPr>
        <w:t>, d</w:t>
      </w:r>
      <w:r w:rsidR="002B0D9B">
        <w:rPr>
          <w:rFonts w:cstheme="minorHAnsi"/>
          <w:color w:val="0F0F0F"/>
          <w:sz w:val="24"/>
          <w:szCs w:val="24"/>
        </w:rPr>
        <w:t>ei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</w:t>
      </w:r>
      <w:r w:rsidR="002B0D9B">
        <w:rPr>
          <w:rFonts w:cstheme="minorHAnsi"/>
          <w:color w:val="0F0F0F"/>
          <w:sz w:val="24"/>
          <w:szCs w:val="24"/>
        </w:rPr>
        <w:t xml:space="preserve">quali 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312mila </w:t>
      </w:r>
      <w:r w:rsidR="002B0D9B">
        <w:rPr>
          <w:rFonts w:cstheme="minorHAnsi"/>
          <w:color w:val="0F0F0F"/>
          <w:sz w:val="24"/>
          <w:szCs w:val="24"/>
        </w:rPr>
        <w:t>occupati da</w:t>
      </w:r>
      <w:r w:rsidR="00D23AED" w:rsidRPr="002B0D9B">
        <w:rPr>
          <w:rFonts w:cstheme="minorHAnsi"/>
          <w:color w:val="0F0F0F"/>
          <w:sz w:val="24"/>
          <w:szCs w:val="24"/>
        </w:rPr>
        <w:t xml:space="preserve"> donne</w:t>
      </w:r>
      <w:r w:rsidR="001F7686">
        <w:rPr>
          <w:rFonts w:cstheme="minorHAnsi"/>
          <w:color w:val="0F0F0F"/>
          <w:sz w:val="24"/>
          <w:szCs w:val="24"/>
        </w:rPr>
        <w:t xml:space="preserve">, </w:t>
      </w:r>
      <w:r w:rsidR="009D6424">
        <w:rPr>
          <w:rFonts w:cstheme="minorHAnsi"/>
          <w:color w:val="0F0F0F"/>
          <w:sz w:val="24"/>
          <w:szCs w:val="24"/>
        </w:rPr>
        <w:t xml:space="preserve">le quali </w:t>
      </w:r>
      <w:r w:rsidR="001F7686">
        <w:rPr>
          <w:rFonts w:cstheme="minorHAnsi"/>
          <w:color w:val="0F0F0F"/>
          <w:sz w:val="24"/>
          <w:szCs w:val="24"/>
        </w:rPr>
        <w:t xml:space="preserve">vedono </w:t>
      </w:r>
      <w:r w:rsidR="009D6424">
        <w:rPr>
          <w:rFonts w:cstheme="minorHAnsi"/>
          <w:color w:val="0F0F0F"/>
          <w:sz w:val="24"/>
          <w:szCs w:val="24"/>
        </w:rPr>
        <w:t xml:space="preserve">anche </w:t>
      </w:r>
      <w:r w:rsidR="001F7686">
        <w:rPr>
          <w:rFonts w:cstheme="minorHAnsi"/>
          <w:color w:val="0F0F0F"/>
          <w:sz w:val="24"/>
          <w:szCs w:val="24"/>
        </w:rPr>
        <w:t>aumentare</w:t>
      </w:r>
      <w:r w:rsidR="009D6424">
        <w:rPr>
          <w:rFonts w:cstheme="minorHAnsi"/>
          <w:color w:val="0F0F0F"/>
          <w:sz w:val="24"/>
          <w:szCs w:val="24"/>
        </w:rPr>
        <w:t xml:space="preserve"> il tasso di inattività</w:t>
      </w:r>
      <w:r>
        <w:rPr>
          <w:rFonts w:cstheme="minorHAnsi"/>
          <w:color w:val="0F0F0F"/>
          <w:sz w:val="24"/>
          <w:szCs w:val="24"/>
        </w:rPr>
        <w:t>;</w:t>
      </w:r>
    </w:p>
    <w:p w14:paraId="206C9803" w14:textId="77777777" w:rsidR="00D23AED" w:rsidRPr="00D23AED" w:rsidRDefault="00D23AED" w:rsidP="00D23AED">
      <w:pPr>
        <w:pStyle w:val="Paragrafoelenco"/>
        <w:rPr>
          <w:rFonts w:cstheme="minorHAnsi"/>
          <w:sz w:val="24"/>
          <w:szCs w:val="24"/>
        </w:rPr>
      </w:pPr>
    </w:p>
    <w:p w14:paraId="66375467" w14:textId="207D906B" w:rsidR="001456CB" w:rsidRPr="001456CB" w:rsidRDefault="00D23AED" w:rsidP="00FE430C">
      <w:pPr>
        <w:jc w:val="center"/>
        <w:rPr>
          <w:rFonts w:cstheme="minorHAnsi"/>
          <w:b/>
          <w:bCs/>
          <w:sz w:val="24"/>
          <w:szCs w:val="24"/>
        </w:rPr>
      </w:pPr>
      <w:r w:rsidRPr="001456CB">
        <w:rPr>
          <w:rFonts w:cstheme="minorHAnsi"/>
          <w:b/>
          <w:bCs/>
          <w:sz w:val="24"/>
          <w:szCs w:val="24"/>
        </w:rPr>
        <w:t>Sottolineato che</w:t>
      </w:r>
    </w:p>
    <w:p w14:paraId="3AD88B81" w14:textId="7CB7C4C1" w:rsidR="00D23AED" w:rsidRDefault="001456CB" w:rsidP="005615B3">
      <w:pPr>
        <w:pStyle w:val="Paragrafoelenco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1456CB">
        <w:rPr>
          <w:rFonts w:cstheme="minorHAnsi"/>
          <w:sz w:val="24"/>
          <w:szCs w:val="24"/>
        </w:rPr>
        <w:t>in tutta Europa l</w:t>
      </w:r>
      <w:r w:rsidR="00031DB1">
        <w:rPr>
          <w:rFonts w:cstheme="minorHAnsi"/>
          <w:sz w:val="24"/>
          <w:szCs w:val="24"/>
        </w:rPr>
        <w:t>e restrizioni e chiusure dovute alla</w:t>
      </w:r>
      <w:r w:rsidRPr="001456CB">
        <w:rPr>
          <w:rFonts w:cstheme="minorHAnsi"/>
          <w:sz w:val="24"/>
          <w:szCs w:val="24"/>
        </w:rPr>
        <w:t xml:space="preserve"> pandemia ha</w:t>
      </w:r>
      <w:r w:rsidR="00031DB1">
        <w:rPr>
          <w:rFonts w:cstheme="minorHAnsi"/>
          <w:sz w:val="24"/>
          <w:szCs w:val="24"/>
        </w:rPr>
        <w:t>nno</w:t>
      </w:r>
      <w:r w:rsidRPr="001456CB">
        <w:rPr>
          <w:rFonts w:cstheme="minorHAnsi"/>
          <w:sz w:val="24"/>
          <w:szCs w:val="24"/>
        </w:rPr>
        <w:t xml:space="preserve"> aggravato lo squilibrio occupazionale </w:t>
      </w:r>
      <w:r w:rsidR="00A41DFE">
        <w:rPr>
          <w:rFonts w:cstheme="minorHAnsi"/>
          <w:sz w:val="24"/>
          <w:szCs w:val="24"/>
        </w:rPr>
        <w:t>esistente</w:t>
      </w:r>
      <w:r w:rsidR="003F2A01">
        <w:rPr>
          <w:rFonts w:cstheme="minorHAnsi"/>
          <w:sz w:val="24"/>
          <w:szCs w:val="24"/>
        </w:rPr>
        <w:t xml:space="preserve">, </w:t>
      </w:r>
      <w:r w:rsidRPr="001456CB">
        <w:rPr>
          <w:rFonts w:cstheme="minorHAnsi"/>
          <w:sz w:val="24"/>
          <w:szCs w:val="24"/>
        </w:rPr>
        <w:t>colp</w:t>
      </w:r>
      <w:r w:rsidR="003F2A01">
        <w:rPr>
          <w:rFonts w:cstheme="minorHAnsi"/>
          <w:sz w:val="24"/>
          <w:szCs w:val="24"/>
        </w:rPr>
        <w:t>endo</w:t>
      </w:r>
      <w:r w:rsidRPr="001456CB">
        <w:rPr>
          <w:rFonts w:cstheme="minorHAnsi"/>
          <w:sz w:val="24"/>
          <w:szCs w:val="24"/>
        </w:rPr>
        <w:t xml:space="preserve"> </w:t>
      </w:r>
      <w:r w:rsidR="00BA36C4">
        <w:rPr>
          <w:rFonts w:cstheme="minorHAnsi"/>
          <w:sz w:val="24"/>
          <w:szCs w:val="24"/>
        </w:rPr>
        <w:t>alcuni</w:t>
      </w:r>
      <w:r w:rsidRPr="001456CB">
        <w:rPr>
          <w:rFonts w:cstheme="minorHAnsi"/>
          <w:sz w:val="24"/>
          <w:szCs w:val="24"/>
        </w:rPr>
        <w:t xml:space="preserve"> settori ad altissima intensità di occupazione femminile, </w:t>
      </w:r>
      <w:r w:rsidR="002B0D9B">
        <w:rPr>
          <w:rFonts w:cstheme="minorHAnsi"/>
          <w:sz w:val="24"/>
          <w:szCs w:val="24"/>
        </w:rPr>
        <w:t xml:space="preserve">quali sono </w:t>
      </w:r>
      <w:r w:rsidR="002B0D9B" w:rsidRPr="001456CB">
        <w:rPr>
          <w:rFonts w:cstheme="minorHAnsi"/>
          <w:sz w:val="24"/>
          <w:szCs w:val="24"/>
        </w:rPr>
        <w:t xml:space="preserve">sanità e </w:t>
      </w:r>
      <w:r w:rsidR="002B0D9B">
        <w:rPr>
          <w:rFonts w:cstheme="minorHAnsi"/>
          <w:sz w:val="24"/>
          <w:szCs w:val="24"/>
        </w:rPr>
        <w:t>servizi</w:t>
      </w:r>
      <w:r w:rsidR="002B0D9B" w:rsidRPr="001456CB">
        <w:rPr>
          <w:rFonts w:cstheme="minorHAnsi"/>
          <w:sz w:val="24"/>
          <w:szCs w:val="24"/>
        </w:rPr>
        <w:t>, ma anche turismo</w:t>
      </w:r>
      <w:r w:rsidR="00BC38FF">
        <w:rPr>
          <w:rFonts w:cstheme="minorHAnsi"/>
          <w:sz w:val="24"/>
          <w:szCs w:val="24"/>
        </w:rPr>
        <w:t xml:space="preserve">, moda </w:t>
      </w:r>
      <w:r w:rsidR="002B0D9B" w:rsidRPr="001456CB">
        <w:rPr>
          <w:rFonts w:cstheme="minorHAnsi"/>
          <w:sz w:val="24"/>
          <w:szCs w:val="24"/>
        </w:rPr>
        <w:t>e cultura</w:t>
      </w:r>
      <w:r w:rsidR="00BA36C4">
        <w:rPr>
          <w:rFonts w:cstheme="minorHAnsi"/>
          <w:sz w:val="24"/>
          <w:szCs w:val="24"/>
        </w:rPr>
        <w:t>, settori che hanno anche esposto maggiormente le donne al contagio stando ai dati diffusi dopo la prima fase della pandemia;</w:t>
      </w:r>
    </w:p>
    <w:p w14:paraId="4F3EE5C2" w14:textId="347328F3" w:rsidR="00EA6643" w:rsidRDefault="00EA6643" w:rsidP="005615B3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EA6643">
        <w:rPr>
          <w:rFonts w:cstheme="minorHAnsi"/>
          <w:sz w:val="24"/>
          <w:szCs w:val="24"/>
        </w:rPr>
        <w:t>la femminilizzazione dei settori della cura, dell’assistenza e dell’educazione, che nell’emergenza Covid-19 abbiamo riscoperto essere essenziali, pone l’urgenza sociale di valorizzare il ruolo chiave che le donne hanno esercitato e stanno esercitando;</w:t>
      </w:r>
    </w:p>
    <w:p w14:paraId="40F6D435" w14:textId="7A22774A" w:rsidR="000D0B5E" w:rsidRDefault="00EE3FEB" w:rsidP="005615B3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Italia il </w:t>
      </w:r>
      <w:proofErr w:type="gramStart"/>
      <w:r>
        <w:rPr>
          <w:rFonts w:cstheme="minorHAnsi"/>
          <w:sz w:val="24"/>
          <w:szCs w:val="24"/>
        </w:rPr>
        <w:t>gap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C73268">
        <w:rPr>
          <w:rFonts w:cstheme="minorHAnsi"/>
          <w:sz w:val="24"/>
          <w:szCs w:val="24"/>
        </w:rPr>
        <w:t xml:space="preserve">occupazionale </w:t>
      </w:r>
      <w:r w:rsidR="0061691B">
        <w:rPr>
          <w:rFonts w:cstheme="minorHAnsi"/>
          <w:sz w:val="24"/>
          <w:szCs w:val="24"/>
        </w:rPr>
        <w:t xml:space="preserve">tra donne e uomini </w:t>
      </w:r>
      <w:r>
        <w:rPr>
          <w:rFonts w:cstheme="minorHAnsi"/>
          <w:sz w:val="24"/>
          <w:szCs w:val="24"/>
        </w:rPr>
        <w:t xml:space="preserve">è particolarmente </w:t>
      </w:r>
      <w:r w:rsidR="00C73268">
        <w:rPr>
          <w:rFonts w:cstheme="minorHAnsi"/>
          <w:sz w:val="24"/>
          <w:szCs w:val="24"/>
        </w:rPr>
        <w:t>profondo, collocandoci da tempo agli ultimi posti nella UE</w:t>
      </w:r>
      <w:r w:rsidR="0043271D">
        <w:rPr>
          <w:rFonts w:cstheme="minorHAnsi"/>
          <w:sz w:val="24"/>
          <w:szCs w:val="24"/>
        </w:rPr>
        <w:t xml:space="preserve">, con </w:t>
      </w:r>
      <w:r w:rsidR="00EE67E3">
        <w:rPr>
          <w:rFonts w:cstheme="minorHAnsi"/>
          <w:sz w:val="24"/>
          <w:szCs w:val="24"/>
        </w:rPr>
        <w:t>radicate discriminazioni</w:t>
      </w:r>
      <w:r w:rsidR="00FE0EE1">
        <w:rPr>
          <w:rFonts w:cstheme="minorHAnsi"/>
          <w:sz w:val="24"/>
          <w:szCs w:val="24"/>
        </w:rPr>
        <w:t xml:space="preserve">, segregazione formativa </w:t>
      </w:r>
      <w:r w:rsidR="00213799">
        <w:rPr>
          <w:rFonts w:cstheme="minorHAnsi"/>
          <w:sz w:val="24"/>
          <w:szCs w:val="24"/>
        </w:rPr>
        <w:t>e lavorativa e stereotipi di ruolo</w:t>
      </w:r>
      <w:r w:rsidR="000B305C">
        <w:rPr>
          <w:rFonts w:cstheme="minorHAnsi"/>
          <w:sz w:val="24"/>
          <w:szCs w:val="24"/>
        </w:rPr>
        <w:t xml:space="preserve"> che</w:t>
      </w:r>
      <w:r w:rsidR="00213799">
        <w:rPr>
          <w:rFonts w:cstheme="minorHAnsi"/>
          <w:sz w:val="24"/>
          <w:szCs w:val="24"/>
        </w:rPr>
        <w:t>, sommati a carenza di servizi di conciliazione</w:t>
      </w:r>
      <w:r w:rsidR="000B305C">
        <w:rPr>
          <w:rFonts w:cstheme="minorHAnsi"/>
          <w:sz w:val="24"/>
          <w:szCs w:val="24"/>
        </w:rPr>
        <w:t>, pongono le donne in condizioni di precarietà</w:t>
      </w:r>
      <w:r w:rsidR="0061691B">
        <w:rPr>
          <w:rFonts w:cstheme="minorHAnsi"/>
          <w:sz w:val="24"/>
          <w:szCs w:val="24"/>
        </w:rPr>
        <w:t xml:space="preserve"> e </w:t>
      </w:r>
      <w:r w:rsidR="005615B3">
        <w:rPr>
          <w:rFonts w:cstheme="minorHAnsi"/>
          <w:sz w:val="24"/>
          <w:szCs w:val="24"/>
        </w:rPr>
        <w:t xml:space="preserve">di elevato </w:t>
      </w:r>
      <w:r w:rsidR="0061691B">
        <w:rPr>
          <w:rFonts w:cstheme="minorHAnsi"/>
          <w:sz w:val="24"/>
          <w:szCs w:val="24"/>
        </w:rPr>
        <w:t>rischio di espulsione dal mercato</w:t>
      </w:r>
      <w:r w:rsidR="00431AFB">
        <w:rPr>
          <w:rFonts w:cstheme="minorHAnsi"/>
          <w:sz w:val="24"/>
          <w:szCs w:val="24"/>
        </w:rPr>
        <w:t>;</w:t>
      </w:r>
    </w:p>
    <w:p w14:paraId="0EC3DE18" w14:textId="77777777" w:rsidR="001456CB" w:rsidRPr="001456CB" w:rsidRDefault="001456CB" w:rsidP="001456CB">
      <w:pPr>
        <w:pStyle w:val="Paragrafoelenco"/>
        <w:jc w:val="both"/>
        <w:rPr>
          <w:rFonts w:cstheme="minorHAnsi"/>
          <w:sz w:val="24"/>
          <w:szCs w:val="24"/>
        </w:rPr>
      </w:pPr>
    </w:p>
    <w:p w14:paraId="74D1B423" w14:textId="63619E83" w:rsidR="00D23AED" w:rsidRDefault="00D23AED" w:rsidP="005615B3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456CB">
        <w:rPr>
          <w:rFonts w:cstheme="minorHAnsi"/>
          <w:sz w:val="24"/>
          <w:szCs w:val="24"/>
        </w:rPr>
        <w:t>il Commiss</w:t>
      </w:r>
      <w:r w:rsidR="001456CB" w:rsidRPr="001456CB">
        <w:rPr>
          <w:rFonts w:cstheme="minorHAnsi"/>
          <w:sz w:val="24"/>
          <w:szCs w:val="24"/>
        </w:rPr>
        <w:t>a</w:t>
      </w:r>
      <w:r w:rsidRPr="001456CB">
        <w:rPr>
          <w:rFonts w:cstheme="minorHAnsi"/>
          <w:sz w:val="24"/>
          <w:szCs w:val="24"/>
        </w:rPr>
        <w:t xml:space="preserve">rio europeo all’Economia, Paolo Gentiloni, intervenendo alla tavola rotonda digitale per il “Il Manifesto - Idee per una ripartenza alla pari di Half of it”, ha ricordato che tante </w:t>
      </w:r>
      <w:r w:rsidRPr="001456CB">
        <w:rPr>
          <w:rFonts w:cstheme="minorHAnsi"/>
          <w:sz w:val="24"/>
          <w:szCs w:val="24"/>
        </w:rPr>
        <w:lastRenderedPageBreak/>
        <w:t xml:space="preserve">eurodeputate e tanti eurodeputati </w:t>
      </w:r>
      <w:r w:rsidR="00BA36C4">
        <w:rPr>
          <w:rFonts w:cstheme="minorHAnsi"/>
          <w:sz w:val="24"/>
          <w:szCs w:val="24"/>
        </w:rPr>
        <w:t>hanno chiesto</w:t>
      </w:r>
      <w:r w:rsidRPr="001456CB">
        <w:rPr>
          <w:rFonts w:cstheme="minorHAnsi"/>
          <w:sz w:val="24"/>
          <w:szCs w:val="24"/>
        </w:rPr>
        <w:t xml:space="preserve"> l’inserimento nei Piani nazionali </w:t>
      </w:r>
      <w:r w:rsidR="001456CB" w:rsidRPr="001456CB">
        <w:rPr>
          <w:rFonts w:cstheme="minorHAnsi"/>
          <w:sz w:val="24"/>
          <w:szCs w:val="24"/>
        </w:rPr>
        <w:t xml:space="preserve">del Recovery Fund di una </w:t>
      </w:r>
      <w:r w:rsidR="00BA36C4">
        <w:rPr>
          <w:rFonts w:cstheme="minorHAnsi"/>
          <w:sz w:val="24"/>
          <w:szCs w:val="24"/>
        </w:rPr>
        <w:t>quota</w:t>
      </w:r>
      <w:r w:rsidR="001456CB" w:rsidRPr="001456CB">
        <w:rPr>
          <w:rFonts w:cstheme="minorHAnsi"/>
          <w:sz w:val="24"/>
          <w:szCs w:val="24"/>
        </w:rPr>
        <w:t xml:space="preserve"> di </w:t>
      </w:r>
      <w:r w:rsidR="00BA36C4">
        <w:rPr>
          <w:rFonts w:cstheme="minorHAnsi"/>
          <w:sz w:val="24"/>
          <w:szCs w:val="24"/>
        </w:rPr>
        <w:t xml:space="preserve">risorse per </w:t>
      </w:r>
      <w:r w:rsidR="001456CB" w:rsidRPr="001456CB">
        <w:rPr>
          <w:rFonts w:cstheme="minorHAnsi"/>
          <w:sz w:val="24"/>
          <w:szCs w:val="24"/>
        </w:rPr>
        <w:t>investimenti vincola</w:t>
      </w:r>
      <w:r w:rsidR="00BA36C4">
        <w:rPr>
          <w:rFonts w:cstheme="minorHAnsi"/>
          <w:sz w:val="24"/>
          <w:szCs w:val="24"/>
        </w:rPr>
        <w:t>ti</w:t>
      </w:r>
      <w:r w:rsidR="001456CB" w:rsidRPr="001456CB">
        <w:rPr>
          <w:rFonts w:cstheme="minorHAnsi"/>
          <w:sz w:val="24"/>
          <w:szCs w:val="24"/>
        </w:rPr>
        <w:t xml:space="preserve"> </w:t>
      </w:r>
      <w:r w:rsidR="00BA36C4">
        <w:rPr>
          <w:rFonts w:cstheme="minorHAnsi"/>
          <w:sz w:val="24"/>
          <w:szCs w:val="24"/>
        </w:rPr>
        <w:t>alla</w:t>
      </w:r>
      <w:r w:rsidR="001456CB" w:rsidRPr="001456CB">
        <w:rPr>
          <w:rFonts w:cstheme="minorHAnsi"/>
          <w:sz w:val="24"/>
          <w:szCs w:val="24"/>
        </w:rPr>
        <w:t xml:space="preserve"> parità di genere, </w:t>
      </w:r>
      <w:r w:rsidR="00BA36C4">
        <w:rPr>
          <w:rFonts w:cstheme="minorHAnsi"/>
          <w:sz w:val="24"/>
          <w:szCs w:val="24"/>
        </w:rPr>
        <w:t xml:space="preserve">al pari della </w:t>
      </w:r>
      <w:r w:rsidR="001456CB" w:rsidRPr="001456CB">
        <w:rPr>
          <w:rFonts w:cstheme="minorHAnsi"/>
          <w:sz w:val="24"/>
          <w:szCs w:val="24"/>
        </w:rPr>
        <w:t xml:space="preserve">transizione ambientale e </w:t>
      </w:r>
      <w:r w:rsidR="00BA36C4">
        <w:rPr>
          <w:rFonts w:cstheme="minorHAnsi"/>
          <w:sz w:val="24"/>
          <w:szCs w:val="24"/>
        </w:rPr>
        <w:t>del</w:t>
      </w:r>
      <w:r w:rsidR="001456CB" w:rsidRPr="001456CB">
        <w:rPr>
          <w:rFonts w:cstheme="minorHAnsi"/>
          <w:sz w:val="24"/>
          <w:szCs w:val="24"/>
        </w:rPr>
        <w:t xml:space="preserve">l’innovazione digitale. </w:t>
      </w:r>
      <w:r w:rsidR="00BA36C4">
        <w:rPr>
          <w:rFonts w:cstheme="minorHAnsi"/>
          <w:sz w:val="24"/>
          <w:szCs w:val="24"/>
        </w:rPr>
        <w:t>A questa richiesta, ha specificato il commissario, i</w:t>
      </w:r>
      <w:r w:rsidR="001456CB" w:rsidRPr="001456CB">
        <w:rPr>
          <w:rFonts w:cstheme="minorHAnsi"/>
          <w:sz w:val="24"/>
          <w:szCs w:val="24"/>
        </w:rPr>
        <w:t xml:space="preserve">l Consiglio UE ha preferito recepire la sollecitazione del Parlamento in modo trasversale, </w:t>
      </w:r>
      <w:r w:rsidR="00BA36C4">
        <w:rPr>
          <w:rFonts w:cstheme="minorHAnsi"/>
          <w:sz w:val="24"/>
          <w:szCs w:val="24"/>
        </w:rPr>
        <w:t>per cui</w:t>
      </w:r>
      <w:r w:rsidR="001456CB" w:rsidRPr="001456CB">
        <w:rPr>
          <w:rFonts w:cstheme="minorHAnsi"/>
          <w:sz w:val="24"/>
          <w:szCs w:val="24"/>
        </w:rPr>
        <w:t xml:space="preserve"> la valutazione d’impatto di genere non dovrà riguardare solo </w:t>
      </w:r>
      <w:r w:rsidR="00BA36C4">
        <w:rPr>
          <w:rFonts w:cstheme="minorHAnsi"/>
          <w:sz w:val="24"/>
          <w:szCs w:val="24"/>
        </w:rPr>
        <w:t>gli investimenti</w:t>
      </w:r>
      <w:r w:rsidR="001456CB" w:rsidRPr="001456CB">
        <w:rPr>
          <w:rFonts w:cstheme="minorHAnsi"/>
          <w:sz w:val="24"/>
          <w:szCs w:val="24"/>
        </w:rPr>
        <w:t xml:space="preserve"> direttament</w:t>
      </w:r>
      <w:r w:rsidR="00BA36C4">
        <w:rPr>
          <w:rFonts w:cstheme="minorHAnsi"/>
          <w:sz w:val="24"/>
          <w:szCs w:val="24"/>
        </w:rPr>
        <w:t>e indirizzati</w:t>
      </w:r>
      <w:r w:rsidR="001456CB" w:rsidRPr="001456CB">
        <w:rPr>
          <w:rFonts w:cstheme="minorHAnsi"/>
          <w:sz w:val="24"/>
          <w:szCs w:val="24"/>
        </w:rPr>
        <w:t xml:space="preserve"> </w:t>
      </w:r>
      <w:r w:rsidR="00BA36C4">
        <w:rPr>
          <w:rFonts w:cstheme="minorHAnsi"/>
          <w:sz w:val="24"/>
          <w:szCs w:val="24"/>
        </w:rPr>
        <w:t>in</w:t>
      </w:r>
      <w:r w:rsidR="001456CB" w:rsidRPr="001456CB">
        <w:rPr>
          <w:rFonts w:cstheme="minorHAnsi"/>
          <w:sz w:val="24"/>
          <w:szCs w:val="24"/>
        </w:rPr>
        <w:t xml:space="preserve"> questa direzione, ma anche </w:t>
      </w:r>
      <w:r w:rsidR="00BA36C4">
        <w:rPr>
          <w:rFonts w:cstheme="minorHAnsi"/>
          <w:sz w:val="24"/>
          <w:szCs w:val="24"/>
        </w:rPr>
        <w:t>gli</w:t>
      </w:r>
      <w:r w:rsidR="001456CB" w:rsidRPr="001456CB">
        <w:rPr>
          <w:rFonts w:cstheme="minorHAnsi"/>
          <w:sz w:val="24"/>
          <w:szCs w:val="24"/>
        </w:rPr>
        <w:t xml:space="preserve"> investimenti </w:t>
      </w:r>
      <w:r w:rsidR="00BA36C4">
        <w:rPr>
          <w:rFonts w:cstheme="minorHAnsi"/>
          <w:sz w:val="24"/>
          <w:szCs w:val="24"/>
        </w:rPr>
        <w:t xml:space="preserve">in campo </w:t>
      </w:r>
      <w:r w:rsidR="001456CB" w:rsidRPr="001456CB">
        <w:rPr>
          <w:rFonts w:cstheme="minorHAnsi"/>
          <w:sz w:val="24"/>
          <w:szCs w:val="24"/>
        </w:rPr>
        <w:t>ambiental</w:t>
      </w:r>
      <w:r w:rsidR="00BA36C4">
        <w:rPr>
          <w:rFonts w:cstheme="minorHAnsi"/>
          <w:sz w:val="24"/>
          <w:szCs w:val="24"/>
        </w:rPr>
        <w:t>e</w:t>
      </w:r>
      <w:r w:rsidR="001456CB" w:rsidRPr="001456CB">
        <w:rPr>
          <w:rFonts w:cstheme="minorHAnsi"/>
          <w:sz w:val="24"/>
          <w:szCs w:val="24"/>
        </w:rPr>
        <w:t xml:space="preserve"> e digital</w:t>
      </w:r>
      <w:r w:rsidR="00BA36C4">
        <w:rPr>
          <w:rFonts w:cstheme="minorHAnsi"/>
          <w:sz w:val="24"/>
          <w:szCs w:val="24"/>
        </w:rPr>
        <w:t>e</w:t>
      </w:r>
      <w:r w:rsidR="001456CB">
        <w:rPr>
          <w:rFonts w:cstheme="minorHAnsi"/>
          <w:sz w:val="24"/>
          <w:szCs w:val="24"/>
        </w:rPr>
        <w:t>.</w:t>
      </w:r>
    </w:p>
    <w:p w14:paraId="5F2558DE" w14:textId="104E2861" w:rsidR="001456CB" w:rsidRDefault="00BA36C4" w:rsidP="0084456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</w:t>
      </w:r>
      <w:r w:rsidR="001456CB" w:rsidRPr="0084456B">
        <w:rPr>
          <w:rFonts w:cstheme="minorHAnsi"/>
          <w:b/>
          <w:bCs/>
          <w:sz w:val="24"/>
          <w:szCs w:val="24"/>
        </w:rPr>
        <w:t>Ricordato che</w:t>
      </w:r>
    </w:p>
    <w:p w14:paraId="76841C64" w14:textId="50CE3C0B" w:rsidR="000A401E" w:rsidRDefault="005615B3" w:rsidP="000A401E">
      <w:pPr>
        <w:pStyle w:val="Paragrafoelenco"/>
        <w:numPr>
          <w:ilvl w:val="0"/>
          <w:numId w:val="6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C3F7B" w:rsidRPr="005615B3">
        <w:rPr>
          <w:rFonts w:cstheme="minorHAnsi"/>
          <w:sz w:val="24"/>
          <w:szCs w:val="24"/>
        </w:rPr>
        <w:t xml:space="preserve">elle proprie Linee di mandato 2020-2025 e successivamente nel Patto per il lavoro e il clima, la Giunta ha inserito la necessità di un “Women New </w:t>
      </w:r>
      <w:proofErr w:type="spellStart"/>
      <w:r w:rsidR="000C3F7B" w:rsidRPr="005615B3">
        <w:rPr>
          <w:rFonts w:cstheme="minorHAnsi"/>
          <w:sz w:val="24"/>
          <w:szCs w:val="24"/>
        </w:rPr>
        <w:t>Deal</w:t>
      </w:r>
      <w:proofErr w:type="spellEnd"/>
      <w:r w:rsidR="000A401E">
        <w:rPr>
          <w:rFonts w:cstheme="minorHAnsi"/>
          <w:sz w:val="24"/>
          <w:szCs w:val="24"/>
        </w:rPr>
        <w:t>”</w:t>
      </w:r>
      <w:r w:rsidR="000C3F7B" w:rsidRPr="005615B3">
        <w:rPr>
          <w:rFonts w:cstheme="minorHAnsi"/>
          <w:sz w:val="24"/>
          <w:szCs w:val="24"/>
        </w:rPr>
        <w:t xml:space="preserve">, ovvero un piano di azioni culturali, economiche e sociali per la promozione del protagonismo femminile in tutti i settori quale fattore di modernizzazione della società”, riconoscendo altresì la centralità di progetti di </w:t>
      </w:r>
      <w:r w:rsidR="000C3F7B" w:rsidRPr="000A401E">
        <w:rPr>
          <w:rFonts w:cstheme="minorHAnsi"/>
          <w:i/>
          <w:iCs/>
          <w:sz w:val="24"/>
          <w:szCs w:val="24"/>
        </w:rPr>
        <w:t xml:space="preserve">empowerment </w:t>
      </w:r>
      <w:r w:rsidR="000C3F7B" w:rsidRPr="005615B3">
        <w:rPr>
          <w:rFonts w:cstheme="minorHAnsi"/>
          <w:sz w:val="24"/>
          <w:szCs w:val="24"/>
        </w:rPr>
        <w:t xml:space="preserve">occupazionale e lavorativo delle donne per colmare tutti i pesanti </w:t>
      </w:r>
      <w:r w:rsidR="000C3F7B" w:rsidRPr="000A401E">
        <w:rPr>
          <w:rFonts w:cstheme="minorHAnsi"/>
          <w:i/>
          <w:iCs/>
          <w:sz w:val="24"/>
          <w:szCs w:val="24"/>
        </w:rPr>
        <w:t>gap</w:t>
      </w:r>
      <w:r w:rsidR="000C3F7B" w:rsidRPr="005615B3">
        <w:rPr>
          <w:rFonts w:cstheme="minorHAnsi"/>
          <w:sz w:val="24"/>
          <w:szCs w:val="24"/>
        </w:rPr>
        <w:t xml:space="preserve"> di genere che frenano la loro partecipazione allo sviluppo;</w:t>
      </w:r>
    </w:p>
    <w:p w14:paraId="4A6502EE" w14:textId="77777777" w:rsidR="000A401E" w:rsidRPr="000A401E" w:rsidRDefault="000A401E" w:rsidP="000A401E">
      <w:pPr>
        <w:ind w:left="66"/>
        <w:jc w:val="both"/>
        <w:rPr>
          <w:rFonts w:cstheme="minorHAnsi"/>
          <w:sz w:val="16"/>
          <w:szCs w:val="16"/>
        </w:rPr>
      </w:pPr>
    </w:p>
    <w:p w14:paraId="216FC744" w14:textId="1F7E2017" w:rsidR="00532E22" w:rsidRDefault="000C3F7B" w:rsidP="000C3F7B">
      <w:pPr>
        <w:pStyle w:val="Paragrafoelenco"/>
        <w:numPr>
          <w:ilvl w:val="0"/>
          <w:numId w:val="6"/>
        </w:numPr>
        <w:ind w:left="426"/>
        <w:jc w:val="both"/>
        <w:rPr>
          <w:rFonts w:cstheme="minorHAnsi"/>
          <w:sz w:val="24"/>
          <w:szCs w:val="24"/>
        </w:rPr>
      </w:pPr>
      <w:r w:rsidRPr="00EF7C59">
        <w:rPr>
          <w:rFonts w:cstheme="minorHAnsi"/>
          <w:sz w:val="24"/>
          <w:szCs w:val="24"/>
        </w:rPr>
        <w:t>il programma di mandato cita espressamente un “Osservatorio regionale per monitorare l’impatto che l’emergenza COVID-19 avrà sul lavoro femminile” quale base statistica necessaria alla definizione del piano di interventi;</w:t>
      </w:r>
    </w:p>
    <w:p w14:paraId="44A1E646" w14:textId="77777777" w:rsidR="00D62737" w:rsidRPr="00EF7C59" w:rsidRDefault="00D62737" w:rsidP="00D62737">
      <w:pPr>
        <w:pStyle w:val="Paragrafoelenco"/>
        <w:ind w:left="426"/>
        <w:jc w:val="both"/>
        <w:rPr>
          <w:rFonts w:cstheme="minorHAnsi"/>
          <w:sz w:val="24"/>
          <w:szCs w:val="24"/>
        </w:rPr>
      </w:pPr>
    </w:p>
    <w:p w14:paraId="6EDE40DE" w14:textId="6835CD35" w:rsidR="00D23AED" w:rsidRDefault="0084456B" w:rsidP="00247801">
      <w:pPr>
        <w:pStyle w:val="Paragrafoelenco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47801">
        <w:rPr>
          <w:sz w:val="24"/>
          <w:szCs w:val="24"/>
        </w:rPr>
        <w:t xml:space="preserve">la legge regionale </w:t>
      </w:r>
      <w:r w:rsidR="00BA36C4" w:rsidRPr="00247801">
        <w:rPr>
          <w:sz w:val="24"/>
          <w:szCs w:val="24"/>
        </w:rPr>
        <w:t xml:space="preserve">dell’Emilia-Romagna </w:t>
      </w:r>
      <w:r w:rsidRPr="00247801">
        <w:rPr>
          <w:sz w:val="24"/>
          <w:szCs w:val="24"/>
        </w:rPr>
        <w:t>27 giugno 2014, n. 6 “Legge quadro per la parità e contro le discriminazioni di genere” prevede il Bilancio di genere (Art. 36) ed il Piano interno integrato delle azioni regionali in materia di pari opportunità di genere (Art. 40)</w:t>
      </w:r>
      <w:r w:rsidR="00247801" w:rsidRPr="00247801">
        <w:rPr>
          <w:sz w:val="24"/>
          <w:szCs w:val="24"/>
        </w:rPr>
        <w:t xml:space="preserve">, </w:t>
      </w:r>
      <w:r w:rsidR="00247801">
        <w:rPr>
          <w:sz w:val="24"/>
          <w:szCs w:val="24"/>
        </w:rPr>
        <w:t>quali</w:t>
      </w:r>
      <w:r w:rsidRPr="00247801">
        <w:rPr>
          <w:sz w:val="24"/>
          <w:szCs w:val="24"/>
        </w:rPr>
        <w:t xml:space="preserve"> strument</w:t>
      </w:r>
      <w:r w:rsidR="002346EB">
        <w:rPr>
          <w:sz w:val="24"/>
          <w:szCs w:val="24"/>
        </w:rPr>
        <w:t>i</w:t>
      </w:r>
      <w:r w:rsidRPr="00247801">
        <w:rPr>
          <w:sz w:val="24"/>
          <w:szCs w:val="24"/>
        </w:rPr>
        <w:t xml:space="preserve"> di monitoraggio e </w:t>
      </w:r>
      <w:r w:rsidR="00CD1737">
        <w:rPr>
          <w:sz w:val="24"/>
          <w:szCs w:val="24"/>
        </w:rPr>
        <w:t>misurazione</w:t>
      </w:r>
      <w:r w:rsidRPr="00247801">
        <w:rPr>
          <w:sz w:val="24"/>
          <w:szCs w:val="24"/>
        </w:rPr>
        <w:t xml:space="preserve"> delle politiche regionali in tema di pari opportunità, nell’ambito della complessiva valutazione delle politiche pubbliche</w:t>
      </w:r>
      <w:r w:rsidR="005B131C">
        <w:rPr>
          <w:sz w:val="24"/>
          <w:szCs w:val="24"/>
        </w:rPr>
        <w:t>,</w:t>
      </w:r>
      <w:r w:rsidRPr="00247801">
        <w:rPr>
          <w:sz w:val="24"/>
          <w:szCs w:val="24"/>
        </w:rPr>
        <w:t xml:space="preserve"> </w:t>
      </w:r>
      <w:r w:rsidR="005B131C">
        <w:rPr>
          <w:sz w:val="24"/>
          <w:szCs w:val="24"/>
        </w:rPr>
        <w:t>per verificare</w:t>
      </w:r>
      <w:r w:rsidRPr="00247801">
        <w:rPr>
          <w:sz w:val="24"/>
          <w:szCs w:val="24"/>
        </w:rPr>
        <w:t xml:space="preserve"> il diverso impatto delle politiche sulla condizione di donne e uomini</w:t>
      </w:r>
      <w:r w:rsidR="005B131C">
        <w:rPr>
          <w:sz w:val="24"/>
          <w:szCs w:val="24"/>
        </w:rPr>
        <w:t>,</w:t>
      </w:r>
      <w:r w:rsidR="002A68B1">
        <w:rPr>
          <w:sz w:val="24"/>
          <w:szCs w:val="24"/>
        </w:rPr>
        <w:t xml:space="preserve"> </w:t>
      </w:r>
      <w:r w:rsidR="00985E3D">
        <w:rPr>
          <w:sz w:val="24"/>
          <w:szCs w:val="24"/>
        </w:rPr>
        <w:t xml:space="preserve">essendo tale </w:t>
      </w:r>
      <w:r w:rsidR="002A68B1">
        <w:rPr>
          <w:sz w:val="24"/>
          <w:szCs w:val="24"/>
        </w:rPr>
        <w:t xml:space="preserve">misurazione indispensabile </w:t>
      </w:r>
      <w:r w:rsidR="00AE3618">
        <w:rPr>
          <w:sz w:val="24"/>
          <w:szCs w:val="24"/>
        </w:rPr>
        <w:t xml:space="preserve">all’efficacia nonché alla rimodulazione </w:t>
      </w:r>
      <w:r w:rsidR="00B96C91">
        <w:rPr>
          <w:sz w:val="24"/>
          <w:szCs w:val="24"/>
        </w:rPr>
        <w:t>delle stesse:</w:t>
      </w:r>
    </w:p>
    <w:p w14:paraId="730E5061" w14:textId="77777777" w:rsidR="00B96C91" w:rsidRPr="00247801" w:rsidRDefault="00B96C91" w:rsidP="00B96C91">
      <w:pPr>
        <w:pStyle w:val="Paragrafoelenco"/>
        <w:ind w:left="426"/>
        <w:jc w:val="both"/>
        <w:rPr>
          <w:sz w:val="24"/>
          <w:szCs w:val="24"/>
        </w:rPr>
      </w:pPr>
    </w:p>
    <w:p w14:paraId="736E976A" w14:textId="135C1328" w:rsidR="00BA36C4" w:rsidRPr="00BA36C4" w:rsidRDefault="00BA36C4" w:rsidP="00774743">
      <w:pPr>
        <w:pStyle w:val="Paragrafoelenco"/>
        <w:ind w:left="0"/>
        <w:jc w:val="center"/>
        <w:rPr>
          <w:b/>
          <w:bCs/>
          <w:sz w:val="24"/>
          <w:szCs w:val="24"/>
        </w:rPr>
      </w:pPr>
      <w:r w:rsidRPr="00BA36C4">
        <w:rPr>
          <w:b/>
          <w:bCs/>
          <w:sz w:val="24"/>
          <w:szCs w:val="24"/>
        </w:rPr>
        <w:t>Tutto ciò premesso</w:t>
      </w:r>
    </w:p>
    <w:p w14:paraId="49A7AB4D" w14:textId="71CE76D9" w:rsidR="0084456B" w:rsidRPr="0084456B" w:rsidRDefault="00BA36C4" w:rsidP="008445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84456B" w:rsidRPr="0084456B">
        <w:rPr>
          <w:b/>
          <w:bCs/>
          <w:sz w:val="24"/>
          <w:szCs w:val="24"/>
        </w:rPr>
        <w:t>INTERROGA LA GIUNTA REGIONALE PER SAPERE</w:t>
      </w:r>
    </w:p>
    <w:p w14:paraId="692F8C5F" w14:textId="00BEBF0E" w:rsidR="0084456B" w:rsidRDefault="0084456B" w:rsidP="005102BC">
      <w:pPr>
        <w:pStyle w:val="Paragrafoelenco"/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4456B">
        <w:rPr>
          <w:sz w:val="24"/>
          <w:szCs w:val="24"/>
        </w:rPr>
        <w:t xml:space="preserve">e </w:t>
      </w:r>
      <w:r w:rsidR="005102BC">
        <w:rPr>
          <w:sz w:val="24"/>
          <w:szCs w:val="24"/>
        </w:rPr>
        <w:t xml:space="preserve">è disponibile un monitoraggio ragionato </w:t>
      </w:r>
      <w:r w:rsidR="009E5B38">
        <w:rPr>
          <w:sz w:val="24"/>
          <w:szCs w:val="24"/>
        </w:rPr>
        <w:t>del</w:t>
      </w:r>
      <w:r w:rsidR="009E5B38" w:rsidRPr="009E5B38">
        <w:rPr>
          <w:sz w:val="24"/>
          <w:szCs w:val="24"/>
        </w:rPr>
        <w:t xml:space="preserve">l’impatto che </w:t>
      </w:r>
      <w:r w:rsidR="00F96047">
        <w:rPr>
          <w:sz w:val="24"/>
          <w:szCs w:val="24"/>
        </w:rPr>
        <w:t>il</w:t>
      </w:r>
      <w:r w:rsidR="009E5B38" w:rsidRPr="009E5B38">
        <w:rPr>
          <w:sz w:val="24"/>
          <w:szCs w:val="24"/>
        </w:rPr>
        <w:t xml:space="preserve"> COVID-19 </w:t>
      </w:r>
      <w:r w:rsidR="005102BC">
        <w:rPr>
          <w:sz w:val="24"/>
          <w:szCs w:val="24"/>
        </w:rPr>
        <w:t xml:space="preserve">ha avuto e </w:t>
      </w:r>
      <w:r w:rsidR="00F96047">
        <w:rPr>
          <w:sz w:val="24"/>
          <w:szCs w:val="24"/>
        </w:rPr>
        <w:t xml:space="preserve">sta avendo </w:t>
      </w:r>
      <w:r w:rsidR="009E5B38" w:rsidRPr="009E5B38">
        <w:rPr>
          <w:sz w:val="24"/>
          <w:szCs w:val="24"/>
        </w:rPr>
        <w:t>sul lavoro femminile</w:t>
      </w:r>
      <w:r w:rsidR="000A401E">
        <w:rPr>
          <w:sz w:val="24"/>
          <w:szCs w:val="24"/>
        </w:rPr>
        <w:t xml:space="preserve"> in Emilia-Romagna</w:t>
      </w:r>
      <w:r w:rsidR="005102BC">
        <w:rPr>
          <w:sz w:val="24"/>
          <w:szCs w:val="24"/>
        </w:rPr>
        <w:t xml:space="preserve"> e </w:t>
      </w:r>
      <w:r w:rsidR="000A401E">
        <w:rPr>
          <w:sz w:val="24"/>
          <w:szCs w:val="24"/>
        </w:rPr>
        <w:t>se ritiene utile l’introduzione di</w:t>
      </w:r>
      <w:r w:rsidR="007E4E92" w:rsidRPr="005102BC">
        <w:rPr>
          <w:sz w:val="24"/>
          <w:szCs w:val="24"/>
        </w:rPr>
        <w:t xml:space="preserve"> criteri di valutazione d</w:t>
      </w:r>
      <w:r w:rsidR="000A401E">
        <w:rPr>
          <w:sz w:val="24"/>
          <w:szCs w:val="24"/>
        </w:rPr>
        <w:t>ell’</w:t>
      </w:r>
      <w:r w:rsidR="007E4E92" w:rsidRPr="005102BC">
        <w:rPr>
          <w:sz w:val="24"/>
          <w:szCs w:val="24"/>
        </w:rPr>
        <w:t>impatto di genere sulle politiche regionali, sulle azioni e sugli investiment</w:t>
      </w:r>
      <w:r w:rsidR="00F157FE" w:rsidRPr="005102BC">
        <w:rPr>
          <w:sz w:val="24"/>
          <w:szCs w:val="24"/>
        </w:rPr>
        <w:t>i</w:t>
      </w:r>
      <w:r w:rsidR="007E4E92" w:rsidRPr="005102BC">
        <w:rPr>
          <w:sz w:val="24"/>
          <w:szCs w:val="24"/>
        </w:rPr>
        <w:t xml:space="preserve"> messi in campo trasversalmente nei vari ambiti di competenza</w:t>
      </w:r>
      <w:r w:rsidR="005102BC">
        <w:rPr>
          <w:sz w:val="24"/>
          <w:szCs w:val="24"/>
        </w:rPr>
        <w:t>,</w:t>
      </w:r>
      <w:r w:rsidR="007E4E92" w:rsidRPr="005102BC">
        <w:rPr>
          <w:sz w:val="24"/>
          <w:szCs w:val="24"/>
        </w:rPr>
        <w:t xml:space="preserve"> al di là delle clausole valutative</w:t>
      </w:r>
      <w:r w:rsidR="005102BC">
        <w:rPr>
          <w:sz w:val="24"/>
          <w:szCs w:val="24"/>
        </w:rPr>
        <w:t xml:space="preserve"> e con il </w:t>
      </w:r>
      <w:r w:rsidR="00F157FE" w:rsidRPr="005102BC">
        <w:rPr>
          <w:sz w:val="24"/>
          <w:szCs w:val="24"/>
        </w:rPr>
        <w:t>coinvolgimento formale dell’area di integrazione ex art.</w:t>
      </w:r>
      <w:r w:rsidR="005102BC" w:rsidRPr="005102BC">
        <w:rPr>
          <w:sz w:val="24"/>
          <w:szCs w:val="24"/>
        </w:rPr>
        <w:t xml:space="preserve"> 39 L.R. 6/2014</w:t>
      </w:r>
      <w:r w:rsidR="00F157FE" w:rsidRPr="005102BC">
        <w:rPr>
          <w:sz w:val="24"/>
          <w:szCs w:val="24"/>
        </w:rPr>
        <w:t xml:space="preserve">, nonché di ogni altro servizio </w:t>
      </w:r>
      <w:r w:rsidR="005102BC" w:rsidRPr="005102BC">
        <w:rPr>
          <w:sz w:val="24"/>
          <w:szCs w:val="24"/>
        </w:rPr>
        <w:t>o supporto anche accademico</w:t>
      </w:r>
      <w:r w:rsidRPr="005102BC">
        <w:rPr>
          <w:sz w:val="24"/>
          <w:szCs w:val="24"/>
        </w:rPr>
        <w:t>.</w:t>
      </w:r>
    </w:p>
    <w:p w14:paraId="25124922" w14:textId="77777777" w:rsidR="00E40AF2" w:rsidRDefault="00E40AF2" w:rsidP="00E40AF2">
      <w:pPr>
        <w:pStyle w:val="Paragrafoelenco"/>
        <w:ind w:left="7080"/>
        <w:jc w:val="both"/>
        <w:rPr>
          <w:sz w:val="24"/>
          <w:szCs w:val="24"/>
        </w:rPr>
      </w:pPr>
    </w:p>
    <w:p w14:paraId="30B42B11" w14:textId="4469ACAD" w:rsidR="00E40AF2" w:rsidRDefault="00E40AF2" w:rsidP="00E40AF2">
      <w:pPr>
        <w:pStyle w:val="Paragrafoelenc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Silvia Zamboni</w:t>
      </w:r>
    </w:p>
    <w:p w14:paraId="2CE98031" w14:textId="007A1966" w:rsidR="00E40AF2" w:rsidRPr="005102BC" w:rsidRDefault="00E40AF2" w:rsidP="00E40AF2">
      <w:pPr>
        <w:pStyle w:val="Paragrafoelenc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Roberta Mori</w:t>
      </w:r>
    </w:p>
    <w:sectPr w:rsidR="00E40AF2" w:rsidRPr="005102BC" w:rsidSect="00E40AF2">
      <w:headerReference w:type="default" r:id="rId7"/>
      <w:footerReference w:type="default" r:id="rId8"/>
      <w:pgSz w:w="11906" w:h="16838"/>
      <w:pgMar w:top="1417" w:right="1134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4DA2" w14:textId="77777777" w:rsidR="006E063A" w:rsidRDefault="006E063A" w:rsidP="00D64117">
      <w:pPr>
        <w:spacing w:after="0" w:line="240" w:lineRule="auto"/>
      </w:pPr>
      <w:r>
        <w:separator/>
      </w:r>
    </w:p>
  </w:endnote>
  <w:endnote w:type="continuationSeparator" w:id="0">
    <w:p w14:paraId="2459BED2" w14:textId="77777777" w:rsidR="006E063A" w:rsidRDefault="006E063A" w:rsidP="00D6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694781"/>
      <w:docPartObj>
        <w:docPartGallery w:val="Page Numbers (Bottom of Page)"/>
        <w:docPartUnique/>
      </w:docPartObj>
    </w:sdtPr>
    <w:sdtEndPr/>
    <w:sdtContent>
      <w:p w14:paraId="5AF69B0B" w14:textId="77777777" w:rsidR="000A401E" w:rsidRDefault="000A401E" w:rsidP="000A401E">
        <w:pPr>
          <w:pStyle w:val="Pidipagina"/>
          <w:tabs>
            <w:tab w:val="left" w:pos="4696"/>
          </w:tabs>
        </w:pPr>
        <w:r>
          <w:tab/>
        </w:r>
      </w:p>
      <w:p w14:paraId="09F7A816" w14:textId="14173FC8" w:rsidR="00F157FE" w:rsidRDefault="000A401E" w:rsidP="000A401E">
        <w:pPr>
          <w:pStyle w:val="Pidipagina"/>
          <w:tabs>
            <w:tab w:val="left" w:pos="4696"/>
          </w:tabs>
        </w:pPr>
        <w:r>
          <w:tab/>
        </w:r>
        <w:r w:rsidR="00F157FE">
          <w:fldChar w:fldCharType="begin"/>
        </w:r>
        <w:r w:rsidR="00F157FE">
          <w:instrText>PAGE   \* MERGEFORMAT</w:instrText>
        </w:r>
        <w:r w:rsidR="00F157FE">
          <w:fldChar w:fldCharType="separate"/>
        </w:r>
        <w:r w:rsidR="00F157FE">
          <w:t>2</w:t>
        </w:r>
        <w:r w:rsidR="00F157FE">
          <w:fldChar w:fldCharType="end"/>
        </w:r>
      </w:p>
    </w:sdtContent>
  </w:sdt>
  <w:p w14:paraId="2376BC39" w14:textId="77777777" w:rsidR="00F157FE" w:rsidRDefault="00F15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38B4" w14:textId="77777777" w:rsidR="006E063A" w:rsidRDefault="006E063A" w:rsidP="00D64117">
      <w:pPr>
        <w:spacing w:after="0" w:line="240" w:lineRule="auto"/>
      </w:pPr>
      <w:r>
        <w:separator/>
      </w:r>
    </w:p>
  </w:footnote>
  <w:footnote w:type="continuationSeparator" w:id="0">
    <w:p w14:paraId="258E588C" w14:textId="77777777" w:rsidR="006E063A" w:rsidRDefault="006E063A" w:rsidP="00D6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04DE" w14:textId="0B38AD4E" w:rsidR="00D64117" w:rsidRDefault="00D64117" w:rsidP="00D64117">
    <w:pPr>
      <w:pStyle w:val="Intestazione"/>
      <w:jc w:val="center"/>
    </w:pPr>
    <w:r>
      <w:rPr>
        <w:noProof/>
      </w:rPr>
      <w:drawing>
        <wp:inline distT="0" distB="0" distL="0" distR="0" wp14:anchorId="1FB4C791" wp14:editId="6969EC69">
          <wp:extent cx="2918460" cy="67349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684" cy="67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D2F41" w14:textId="49EA80A4" w:rsidR="007E4E92" w:rsidRDefault="007E4E92" w:rsidP="00D64117">
    <w:pPr>
      <w:pStyle w:val="Intestazione"/>
      <w:jc w:val="center"/>
    </w:pPr>
  </w:p>
  <w:p w14:paraId="4455FDFA" w14:textId="77777777" w:rsidR="007E4E92" w:rsidRDefault="007E4E92" w:rsidP="00D6411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58A4"/>
    <w:multiLevelType w:val="hybridMultilevel"/>
    <w:tmpl w:val="A21E0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441"/>
    <w:multiLevelType w:val="hybridMultilevel"/>
    <w:tmpl w:val="254AEE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C228AE"/>
    <w:multiLevelType w:val="hybridMultilevel"/>
    <w:tmpl w:val="9218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D28"/>
    <w:multiLevelType w:val="hybridMultilevel"/>
    <w:tmpl w:val="5DA6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18A8"/>
    <w:multiLevelType w:val="hybridMultilevel"/>
    <w:tmpl w:val="3926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0D4B"/>
    <w:multiLevelType w:val="hybridMultilevel"/>
    <w:tmpl w:val="FB661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9"/>
    <w:rsid w:val="00016D37"/>
    <w:rsid w:val="00031DB1"/>
    <w:rsid w:val="0004280D"/>
    <w:rsid w:val="000A401E"/>
    <w:rsid w:val="000B305C"/>
    <w:rsid w:val="000C3F7B"/>
    <w:rsid w:val="000D0B5E"/>
    <w:rsid w:val="00100FBC"/>
    <w:rsid w:val="00126364"/>
    <w:rsid w:val="001456CB"/>
    <w:rsid w:val="001515E8"/>
    <w:rsid w:val="0019491E"/>
    <w:rsid w:val="001B017A"/>
    <w:rsid w:val="001D2BAB"/>
    <w:rsid w:val="001D2C7E"/>
    <w:rsid w:val="001F7686"/>
    <w:rsid w:val="00213799"/>
    <w:rsid w:val="002346EB"/>
    <w:rsid w:val="002430AE"/>
    <w:rsid w:val="00247801"/>
    <w:rsid w:val="00250958"/>
    <w:rsid w:val="002614FB"/>
    <w:rsid w:val="00293D3D"/>
    <w:rsid w:val="002A68B1"/>
    <w:rsid w:val="002B0D9B"/>
    <w:rsid w:val="00320854"/>
    <w:rsid w:val="003E57B2"/>
    <w:rsid w:val="003F2A01"/>
    <w:rsid w:val="003F7AA8"/>
    <w:rsid w:val="00400693"/>
    <w:rsid w:val="00413A28"/>
    <w:rsid w:val="00431AFB"/>
    <w:rsid w:val="0043271D"/>
    <w:rsid w:val="005102BC"/>
    <w:rsid w:val="005325BC"/>
    <w:rsid w:val="00532E22"/>
    <w:rsid w:val="005615B3"/>
    <w:rsid w:val="005B131C"/>
    <w:rsid w:val="005B5A00"/>
    <w:rsid w:val="0061691B"/>
    <w:rsid w:val="006E063A"/>
    <w:rsid w:val="007474BD"/>
    <w:rsid w:val="00774743"/>
    <w:rsid w:val="007E4E92"/>
    <w:rsid w:val="008061B4"/>
    <w:rsid w:val="00837D80"/>
    <w:rsid w:val="0084456B"/>
    <w:rsid w:val="009279BD"/>
    <w:rsid w:val="009346E2"/>
    <w:rsid w:val="00955ECC"/>
    <w:rsid w:val="0095715F"/>
    <w:rsid w:val="0096651E"/>
    <w:rsid w:val="00985E3D"/>
    <w:rsid w:val="009B543C"/>
    <w:rsid w:val="009D6424"/>
    <w:rsid w:val="009E5B38"/>
    <w:rsid w:val="00A4110C"/>
    <w:rsid w:val="00A41DFE"/>
    <w:rsid w:val="00A601D6"/>
    <w:rsid w:val="00A93519"/>
    <w:rsid w:val="00AD3D4D"/>
    <w:rsid w:val="00AE1D04"/>
    <w:rsid w:val="00AE3618"/>
    <w:rsid w:val="00B96C91"/>
    <w:rsid w:val="00BA36C4"/>
    <w:rsid w:val="00BA6035"/>
    <w:rsid w:val="00BC38FF"/>
    <w:rsid w:val="00BD0AA0"/>
    <w:rsid w:val="00C73268"/>
    <w:rsid w:val="00CD1737"/>
    <w:rsid w:val="00D23AED"/>
    <w:rsid w:val="00D62737"/>
    <w:rsid w:val="00D64117"/>
    <w:rsid w:val="00D8098D"/>
    <w:rsid w:val="00E40AF2"/>
    <w:rsid w:val="00E619E8"/>
    <w:rsid w:val="00E710A6"/>
    <w:rsid w:val="00EA6643"/>
    <w:rsid w:val="00EE3FEB"/>
    <w:rsid w:val="00EE67E3"/>
    <w:rsid w:val="00EF7C59"/>
    <w:rsid w:val="00F03D4F"/>
    <w:rsid w:val="00F157FE"/>
    <w:rsid w:val="00F96047"/>
    <w:rsid w:val="00FE0EE1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4212"/>
  <w15:chartTrackingRefBased/>
  <w15:docId w15:val="{A28C01D4-B1BC-496D-9797-D13CE0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117"/>
  </w:style>
  <w:style w:type="paragraph" w:styleId="Pidipagina">
    <w:name w:val="footer"/>
    <w:basedOn w:val="Normale"/>
    <w:link w:val="PidipaginaCarattere"/>
    <w:uiPriority w:val="99"/>
    <w:unhideWhenUsed/>
    <w:rsid w:val="00D64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Labriola Danny</dc:creator>
  <cp:keywords/>
  <dc:description/>
  <cp:lastModifiedBy>Danielli Elisa</cp:lastModifiedBy>
  <cp:revision>3</cp:revision>
  <dcterms:created xsi:type="dcterms:W3CDTF">2021-02-02T08:44:00Z</dcterms:created>
  <dcterms:modified xsi:type="dcterms:W3CDTF">2021-02-02T09:37:00Z</dcterms:modified>
</cp:coreProperties>
</file>