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41C36" w14:textId="32156AEB" w:rsidR="00E330DB" w:rsidRDefault="00E725D4" w:rsidP="00E725D4">
      <w:pPr>
        <w:jc w:val="center"/>
        <w:rPr>
          <w:u w:val="single"/>
        </w:rPr>
      </w:pPr>
      <w:r w:rsidRPr="00E725D4">
        <w:rPr>
          <w:u w:val="single"/>
        </w:rPr>
        <w:t>Risposte fornite alla Cons Zamboni (ottobre-novembre)</w:t>
      </w:r>
    </w:p>
    <w:p w14:paraId="26A268ED" w14:textId="7C2F4635" w:rsidR="00E725D4" w:rsidRPr="00E725D4" w:rsidRDefault="00E725D4" w:rsidP="00E725D4">
      <w:pPr>
        <w:rPr>
          <w:u w:val="single"/>
        </w:rPr>
      </w:pPr>
      <w:r>
        <w:rPr>
          <w:rFonts w:ascii="Calibri" w:eastAsia="Times New Roman" w:hAnsi="Calibri" w:cs="Calibri"/>
          <w:b/>
          <w:bCs/>
          <w:color w:val="201F1E"/>
          <w:sz w:val="24"/>
          <w:szCs w:val="24"/>
          <w:u w:val="single"/>
          <w:lang w:eastAsia="it-IT"/>
        </w:rPr>
        <w:t>2</w:t>
      </w:r>
      <w:r>
        <w:rPr>
          <w:rFonts w:ascii="Calibri" w:eastAsia="Times New Roman" w:hAnsi="Calibri" w:cs="Calibri"/>
          <w:b/>
          <w:bCs/>
          <w:color w:val="201F1E"/>
          <w:sz w:val="24"/>
          <w:szCs w:val="24"/>
          <w:u w:val="single"/>
          <w:lang w:eastAsia="it-IT"/>
        </w:rPr>
        <w:t>2</w:t>
      </w:r>
      <w:r w:rsidRPr="00E725D4">
        <w:rPr>
          <w:rFonts w:ascii="Calibri" w:eastAsia="Times New Roman" w:hAnsi="Calibri" w:cs="Calibri"/>
          <w:b/>
          <w:bCs/>
          <w:color w:val="201F1E"/>
          <w:sz w:val="24"/>
          <w:szCs w:val="24"/>
          <w:u w:val="single"/>
          <w:lang w:eastAsia="it-IT"/>
        </w:rPr>
        <w:t xml:space="preserve"> </w:t>
      </w:r>
      <w:r>
        <w:rPr>
          <w:rFonts w:ascii="Calibri" w:eastAsia="Times New Roman" w:hAnsi="Calibri" w:cs="Calibri"/>
          <w:b/>
          <w:bCs/>
          <w:color w:val="201F1E"/>
          <w:sz w:val="24"/>
          <w:szCs w:val="24"/>
          <w:u w:val="single"/>
          <w:lang w:eastAsia="it-IT"/>
        </w:rPr>
        <w:t>otto</w:t>
      </w:r>
      <w:r w:rsidRPr="00E725D4">
        <w:rPr>
          <w:rFonts w:ascii="Calibri" w:eastAsia="Times New Roman" w:hAnsi="Calibri" w:cs="Calibri"/>
          <w:b/>
          <w:bCs/>
          <w:color w:val="201F1E"/>
          <w:sz w:val="24"/>
          <w:szCs w:val="24"/>
          <w:u w:val="single"/>
          <w:lang w:eastAsia="it-IT"/>
        </w:rPr>
        <w:t>bre</w:t>
      </w:r>
    </w:p>
    <w:p w14:paraId="185A6111" w14:textId="4C81B24F" w:rsidR="00E725D4" w:rsidRPr="00E725D4" w:rsidRDefault="00E725D4" w:rsidP="00E725D4">
      <w:pPr>
        <w:spacing w:line="256" w:lineRule="auto"/>
        <w:jc w:val="both"/>
        <w:rPr>
          <w:rFonts w:cstheme="minorHAnsi"/>
          <w:b/>
          <w:i/>
          <w:color w:val="201F1E"/>
          <w:sz w:val="24"/>
          <w:szCs w:val="24"/>
          <w:shd w:val="clear" w:color="auto" w:fill="FFFFFF"/>
        </w:rPr>
      </w:pPr>
      <w:r w:rsidRPr="00E725D4">
        <w:rPr>
          <w:rFonts w:cstheme="minorHAnsi"/>
          <w:b/>
          <w:i/>
          <w:color w:val="201F1E"/>
          <w:sz w:val="24"/>
          <w:szCs w:val="24"/>
          <w:shd w:val="clear" w:color="auto" w:fill="FFFFFF"/>
        </w:rPr>
        <w:t xml:space="preserve">È possibile estendere il test anche a nonni non conviventi coi nipoti di cui però si occupano e alle babysitter dei bambini iscritti a nidi e scuole materne? </w:t>
      </w:r>
    </w:p>
    <w:p w14:paraId="5E4A79F4" w14:textId="77777777" w:rsidR="00E725D4" w:rsidRDefault="00E725D4" w:rsidP="00E725D4">
      <w:pPr>
        <w:jc w:val="both"/>
        <w:rPr>
          <w:sz w:val="24"/>
          <w:szCs w:val="24"/>
        </w:rPr>
      </w:pPr>
      <w:r>
        <w:rPr>
          <w:sz w:val="24"/>
          <w:szCs w:val="24"/>
        </w:rPr>
        <w:t xml:space="preserve">L’estensione del test ai nonni non conviventi che si occupano dei nipoti avverrà con nota dell’Assessore nella giornata odierna (22 ottobre 2020) in merito alle altre categorie è necessario fare ulteriori valutazioni. </w:t>
      </w:r>
    </w:p>
    <w:p w14:paraId="6A3568FE" w14:textId="77777777" w:rsidR="00E725D4" w:rsidRPr="00E725D4" w:rsidRDefault="00E725D4" w:rsidP="00E725D4">
      <w:pPr>
        <w:spacing w:line="256" w:lineRule="auto"/>
        <w:jc w:val="both"/>
        <w:rPr>
          <w:rFonts w:cstheme="minorHAnsi"/>
          <w:b/>
          <w:i/>
          <w:color w:val="201F1E"/>
          <w:sz w:val="24"/>
          <w:szCs w:val="24"/>
          <w:shd w:val="clear" w:color="auto" w:fill="FFFFFF"/>
        </w:rPr>
      </w:pPr>
      <w:r w:rsidRPr="00E725D4">
        <w:rPr>
          <w:rFonts w:cstheme="minorHAnsi"/>
          <w:b/>
          <w:i/>
          <w:color w:val="201F1E"/>
          <w:sz w:val="24"/>
          <w:szCs w:val="24"/>
          <w:shd w:val="clear" w:color="auto" w:fill="FFFFFF"/>
        </w:rPr>
        <w:t xml:space="preserve">Una persona negativa al tampone antigenico virale, quindi clinicamente guarita e non più infettiva, risulta però ancora positiva al tampone standard </w:t>
      </w:r>
      <w:proofErr w:type="spellStart"/>
      <w:r w:rsidRPr="00E725D4">
        <w:rPr>
          <w:rFonts w:cstheme="minorHAnsi"/>
          <w:b/>
          <w:i/>
          <w:color w:val="201F1E"/>
          <w:sz w:val="24"/>
          <w:szCs w:val="24"/>
          <w:shd w:val="clear" w:color="auto" w:fill="FFFFFF"/>
        </w:rPr>
        <w:t>laringio</w:t>
      </w:r>
      <w:proofErr w:type="spellEnd"/>
      <w:r w:rsidRPr="00E725D4">
        <w:rPr>
          <w:rFonts w:cstheme="minorHAnsi"/>
          <w:b/>
          <w:i/>
          <w:color w:val="201F1E"/>
          <w:sz w:val="24"/>
          <w:szCs w:val="24"/>
          <w:shd w:val="clear" w:color="auto" w:fill="FFFFFF"/>
        </w:rPr>
        <w:t xml:space="preserve">-faringeo indicato nelle misure ministeriali. Per questo deve stare ancora in quarantena. Scusandomi se avete già trattato questo tema, chiedo se avete valutato come Regione di fare presente questa situazione al governo perché modifichi le disposizioni ministeriali in materia. </w:t>
      </w:r>
    </w:p>
    <w:p w14:paraId="1E09D2EF" w14:textId="77777777" w:rsidR="00E725D4" w:rsidRDefault="00E725D4" w:rsidP="00E725D4">
      <w:pPr>
        <w:jc w:val="both"/>
        <w:rPr>
          <w:sz w:val="24"/>
          <w:szCs w:val="24"/>
        </w:rPr>
      </w:pPr>
      <w:r>
        <w:rPr>
          <w:sz w:val="24"/>
          <w:szCs w:val="24"/>
        </w:rPr>
        <w:t xml:space="preserve">Le più recenti indicazioni del Ministero della Salute prevedono che per i soggetti in quarantena in quanto contatti stretti di casi possa fare testo il solo risultato del tampone antigenico che, se negativo, permette di interrompere la quarantena a </w:t>
      </w:r>
      <w:proofErr w:type="gramStart"/>
      <w:r>
        <w:rPr>
          <w:sz w:val="24"/>
          <w:szCs w:val="24"/>
        </w:rPr>
        <w:t>10</w:t>
      </w:r>
      <w:proofErr w:type="gramEnd"/>
      <w:r>
        <w:rPr>
          <w:sz w:val="24"/>
          <w:szCs w:val="24"/>
        </w:rPr>
        <w:t xml:space="preserve"> giorni. Naturalmente può essere utilizzato anche il tampone molecolare invece di quello molecolare, ma non c’è nessuna indicazione a fare entrambi i test per l’uscita dalla quarantena. In entrambi i casi, se il test risulta positivo, il soggetto non si troverebbe più in quarantena ma in isolamento, per uscire dal quale occorre la negativizzazione del tampone molecolare. Non è più necessaria la conferma dell’avvenuta negativizzazione con un secondo tampone ad almeno 24 ore dal primo. Se il soggetto rimane asintomatico, anche se il tampone molecolare rimane positivo, l’isolamento può interrompersi dopo 21 giorni dalla prima positività.</w:t>
      </w:r>
    </w:p>
    <w:p w14:paraId="79EDDB8F" w14:textId="77777777" w:rsidR="00E725D4" w:rsidRPr="00E725D4" w:rsidRDefault="00E725D4" w:rsidP="00E725D4">
      <w:pPr>
        <w:spacing w:line="256" w:lineRule="auto"/>
        <w:jc w:val="both"/>
        <w:rPr>
          <w:rFonts w:cstheme="minorHAnsi"/>
          <w:b/>
          <w:i/>
          <w:color w:val="201F1E"/>
          <w:sz w:val="24"/>
          <w:szCs w:val="24"/>
          <w:shd w:val="clear" w:color="auto" w:fill="FFFFFF"/>
        </w:rPr>
      </w:pPr>
      <w:r w:rsidRPr="00E725D4">
        <w:rPr>
          <w:rFonts w:cstheme="minorHAnsi"/>
          <w:b/>
          <w:i/>
          <w:color w:val="201F1E"/>
          <w:sz w:val="24"/>
          <w:szCs w:val="24"/>
          <w:shd w:val="clear" w:color="auto" w:fill="FFFFFF"/>
        </w:rPr>
        <w:t>Si segnala un caso: tampone effettuato a cittadina inglese, in arrivo dall'Inghilterra l'8 ottobre, ha fatto il tampone il giorno dopo. Data per consegna referto: 19 ottobre, ovvero 9 giorni dopo, senza restrizioni a sua libertà di movimento.  Non è il massimo per la tutela della salute pubblica. Si può intervenire per avere esiti più celeri in caso almeno di cittadini che provengono da Paesi con alte percentuali di contagi?</w:t>
      </w:r>
    </w:p>
    <w:p w14:paraId="350CFAC1" w14:textId="77777777" w:rsidR="00E725D4" w:rsidRDefault="00E725D4" w:rsidP="00E725D4">
      <w:pPr>
        <w:jc w:val="both"/>
        <w:rPr>
          <w:sz w:val="24"/>
          <w:szCs w:val="24"/>
        </w:rPr>
      </w:pPr>
      <w:r>
        <w:rPr>
          <w:sz w:val="24"/>
          <w:szCs w:val="24"/>
        </w:rPr>
        <w:t>La disciplina relativa agli ingressi dall’estero deve essere rivista a livello nazionale.</w:t>
      </w:r>
    </w:p>
    <w:p w14:paraId="051608C5" w14:textId="77777777" w:rsidR="00E725D4" w:rsidRPr="00E725D4" w:rsidRDefault="00E725D4" w:rsidP="00E725D4">
      <w:pPr>
        <w:spacing w:line="256" w:lineRule="auto"/>
        <w:jc w:val="both"/>
        <w:rPr>
          <w:rFonts w:cstheme="minorHAnsi"/>
          <w:b/>
          <w:i/>
          <w:color w:val="201F1E"/>
          <w:sz w:val="24"/>
          <w:szCs w:val="24"/>
          <w:shd w:val="clear" w:color="auto" w:fill="FFFFFF"/>
        </w:rPr>
      </w:pPr>
      <w:r w:rsidRPr="00E725D4">
        <w:rPr>
          <w:rFonts w:cstheme="minorHAnsi"/>
          <w:b/>
          <w:i/>
          <w:color w:val="201F1E"/>
          <w:sz w:val="24"/>
          <w:szCs w:val="24"/>
          <w:shd w:val="clear" w:color="auto" w:fill="FFFFFF"/>
        </w:rPr>
        <w:t xml:space="preserve">Il numero dell'Asl Bologna 0512869406   rimanda alla consultazione del sito aziendale per le info su epidemia </w:t>
      </w:r>
      <w:proofErr w:type="spellStart"/>
      <w:r w:rsidRPr="00E725D4">
        <w:rPr>
          <w:rFonts w:cstheme="minorHAnsi"/>
          <w:b/>
          <w:i/>
          <w:color w:val="201F1E"/>
          <w:sz w:val="24"/>
          <w:szCs w:val="24"/>
          <w:shd w:val="clear" w:color="auto" w:fill="FFFFFF"/>
        </w:rPr>
        <w:t>Covid</w:t>
      </w:r>
      <w:proofErr w:type="spellEnd"/>
      <w:r w:rsidRPr="00E725D4">
        <w:rPr>
          <w:rFonts w:cstheme="minorHAnsi"/>
          <w:b/>
          <w:i/>
          <w:color w:val="201F1E"/>
          <w:sz w:val="24"/>
          <w:szCs w:val="24"/>
          <w:shd w:val="clear" w:color="auto" w:fill="FFFFFF"/>
        </w:rPr>
        <w:t xml:space="preserve">, indica inoltre la disponibilità di un modulo online per inviare richieste, infine, per parlare direttamente con un operatore, segnala un numero di telefono attivo però solo da lunedì a venerdì e solo fino alle 13.30. Considerata l'impennata della diffusione dei contagi, non è il caso di rinforzare il servizio di informazione ai cittadini sul tema </w:t>
      </w:r>
      <w:proofErr w:type="spellStart"/>
      <w:r w:rsidRPr="00E725D4">
        <w:rPr>
          <w:rFonts w:cstheme="minorHAnsi"/>
          <w:b/>
          <w:i/>
          <w:color w:val="201F1E"/>
          <w:sz w:val="24"/>
          <w:szCs w:val="24"/>
          <w:shd w:val="clear" w:color="auto" w:fill="FFFFFF"/>
        </w:rPr>
        <w:t>Covid</w:t>
      </w:r>
      <w:proofErr w:type="spellEnd"/>
      <w:r w:rsidRPr="00E725D4">
        <w:rPr>
          <w:rFonts w:cstheme="minorHAnsi"/>
          <w:b/>
          <w:i/>
          <w:color w:val="201F1E"/>
          <w:sz w:val="24"/>
          <w:szCs w:val="24"/>
          <w:shd w:val="clear" w:color="auto" w:fill="FFFFFF"/>
        </w:rPr>
        <w:t xml:space="preserve"> estendendolo a tutta la settimana e ampliando la fascia oraria di attivazione? </w:t>
      </w:r>
    </w:p>
    <w:p w14:paraId="395B1102" w14:textId="77777777" w:rsidR="00E725D4" w:rsidRDefault="00E725D4" w:rsidP="00E725D4">
      <w:pPr>
        <w:jc w:val="both"/>
        <w:rPr>
          <w:sz w:val="24"/>
          <w:szCs w:val="24"/>
        </w:rPr>
      </w:pPr>
      <w:r>
        <w:rPr>
          <w:sz w:val="24"/>
          <w:szCs w:val="24"/>
        </w:rPr>
        <w:t xml:space="preserve">L’intero sistema sanitario sta </w:t>
      </w:r>
      <w:proofErr w:type="gramStart"/>
      <w:r>
        <w:rPr>
          <w:sz w:val="24"/>
          <w:szCs w:val="24"/>
        </w:rPr>
        <w:t>mettendo in campo</w:t>
      </w:r>
      <w:proofErr w:type="gramEnd"/>
      <w:r>
        <w:rPr>
          <w:sz w:val="24"/>
          <w:szCs w:val="24"/>
        </w:rPr>
        <w:t xml:space="preserve"> tutte le iniziative per rafforzare tutti i servizi, dando priorità alle attività che impattano maggiormente sulla gestione della pandemia (oltre alle cure la sorveglianza dei pazienti a domicilio, il prelievo dei tamponi, il </w:t>
      </w:r>
      <w:proofErr w:type="spellStart"/>
      <w:r>
        <w:rPr>
          <w:sz w:val="24"/>
          <w:szCs w:val="24"/>
        </w:rPr>
        <w:t>contact</w:t>
      </w:r>
      <w:proofErr w:type="spellEnd"/>
      <w:r>
        <w:rPr>
          <w:sz w:val="24"/>
          <w:szCs w:val="24"/>
        </w:rPr>
        <w:t xml:space="preserve"> </w:t>
      </w:r>
      <w:proofErr w:type="spellStart"/>
      <w:r>
        <w:rPr>
          <w:sz w:val="24"/>
          <w:szCs w:val="24"/>
        </w:rPr>
        <w:t>tracing</w:t>
      </w:r>
      <w:proofErr w:type="spellEnd"/>
      <w:r>
        <w:rPr>
          <w:sz w:val="24"/>
          <w:szCs w:val="24"/>
        </w:rPr>
        <w:t xml:space="preserve"> e le indagini epidemiologiche nelle scuole). Sarà nostra cura verificare la fattibilità di quanto proposto dalla Consigliera.</w:t>
      </w:r>
    </w:p>
    <w:p w14:paraId="6800096D" w14:textId="77777777" w:rsidR="00E725D4" w:rsidRDefault="00E725D4" w:rsidP="00E725D4">
      <w:pPr>
        <w:rPr>
          <w:rFonts w:ascii="Calibri" w:eastAsia="Times New Roman" w:hAnsi="Calibri" w:cs="Calibri"/>
          <w:b/>
          <w:bCs/>
          <w:color w:val="201F1E"/>
          <w:sz w:val="24"/>
          <w:szCs w:val="24"/>
          <w:u w:val="single"/>
          <w:lang w:eastAsia="it-IT"/>
        </w:rPr>
      </w:pPr>
    </w:p>
    <w:p w14:paraId="5796D34E" w14:textId="32259CE0" w:rsidR="00E725D4" w:rsidRPr="00E725D4" w:rsidRDefault="00E725D4" w:rsidP="00E725D4">
      <w:pPr>
        <w:rPr>
          <w:u w:val="single"/>
        </w:rPr>
      </w:pPr>
      <w:r>
        <w:rPr>
          <w:rFonts w:ascii="Calibri" w:eastAsia="Times New Roman" w:hAnsi="Calibri" w:cs="Calibri"/>
          <w:b/>
          <w:bCs/>
          <w:color w:val="201F1E"/>
          <w:sz w:val="24"/>
          <w:szCs w:val="24"/>
          <w:u w:val="single"/>
          <w:lang w:eastAsia="it-IT"/>
        </w:rPr>
        <w:lastRenderedPageBreak/>
        <w:t>2</w:t>
      </w:r>
      <w:r>
        <w:rPr>
          <w:rFonts w:ascii="Calibri" w:eastAsia="Times New Roman" w:hAnsi="Calibri" w:cs="Calibri"/>
          <w:b/>
          <w:bCs/>
          <w:color w:val="201F1E"/>
          <w:sz w:val="24"/>
          <w:szCs w:val="24"/>
          <w:u w:val="single"/>
          <w:lang w:eastAsia="it-IT"/>
        </w:rPr>
        <w:t>9</w:t>
      </w:r>
      <w:r w:rsidRPr="00E725D4">
        <w:rPr>
          <w:rFonts w:ascii="Calibri" w:eastAsia="Times New Roman" w:hAnsi="Calibri" w:cs="Calibri"/>
          <w:b/>
          <w:bCs/>
          <w:color w:val="201F1E"/>
          <w:sz w:val="24"/>
          <w:szCs w:val="24"/>
          <w:u w:val="single"/>
          <w:lang w:eastAsia="it-IT"/>
        </w:rPr>
        <w:t xml:space="preserve"> </w:t>
      </w:r>
      <w:r>
        <w:rPr>
          <w:rFonts w:ascii="Calibri" w:eastAsia="Times New Roman" w:hAnsi="Calibri" w:cs="Calibri"/>
          <w:b/>
          <w:bCs/>
          <w:color w:val="201F1E"/>
          <w:sz w:val="24"/>
          <w:szCs w:val="24"/>
          <w:u w:val="single"/>
          <w:lang w:eastAsia="it-IT"/>
        </w:rPr>
        <w:t>otto</w:t>
      </w:r>
      <w:r w:rsidRPr="00E725D4">
        <w:rPr>
          <w:rFonts w:ascii="Calibri" w:eastAsia="Times New Roman" w:hAnsi="Calibri" w:cs="Calibri"/>
          <w:b/>
          <w:bCs/>
          <w:color w:val="201F1E"/>
          <w:sz w:val="24"/>
          <w:szCs w:val="24"/>
          <w:u w:val="single"/>
          <w:lang w:eastAsia="it-IT"/>
        </w:rPr>
        <w:t>bre</w:t>
      </w:r>
    </w:p>
    <w:p w14:paraId="4E6D21AD" w14:textId="77777777" w:rsidR="00E725D4" w:rsidRPr="00E725D4" w:rsidRDefault="00E725D4" w:rsidP="00E725D4">
      <w:pPr>
        <w:spacing w:after="0" w:line="257" w:lineRule="auto"/>
        <w:jc w:val="both"/>
        <w:rPr>
          <w:rFonts w:cstheme="minorHAnsi"/>
          <w:b/>
          <w:i/>
          <w:color w:val="201F1E"/>
          <w:sz w:val="24"/>
          <w:szCs w:val="24"/>
          <w:shd w:val="clear" w:color="auto" w:fill="FFFFFF"/>
        </w:rPr>
      </w:pPr>
      <w:r w:rsidRPr="00E725D4">
        <w:rPr>
          <w:rFonts w:cstheme="minorHAnsi"/>
          <w:b/>
          <w:i/>
          <w:color w:val="201F1E"/>
          <w:sz w:val="24"/>
          <w:szCs w:val="24"/>
          <w:shd w:val="clear" w:color="auto" w:fill="FFFFFF"/>
        </w:rPr>
        <w:t xml:space="preserve">Tema: vaccini antinfluenzali. A quanto ammonta la disponibilità dei vaccini antinfluenzali nella nostra Regione? In altre parole: quale e quanta domanda potenziale è in grado di coprire? </w:t>
      </w:r>
    </w:p>
    <w:p w14:paraId="4BB1CD6D" w14:textId="77777777" w:rsidR="00E725D4" w:rsidRDefault="00E725D4" w:rsidP="00E725D4">
      <w:pPr>
        <w:spacing w:after="0" w:line="257" w:lineRule="auto"/>
        <w:jc w:val="both"/>
        <w:rPr>
          <w:sz w:val="24"/>
          <w:szCs w:val="24"/>
        </w:rPr>
      </w:pPr>
      <w:r>
        <w:rPr>
          <w:sz w:val="24"/>
          <w:szCs w:val="24"/>
        </w:rPr>
        <w:t>La Regione ha acquistato ad oggi 1.200.000 dosi di vaccino la cui distribuzione avverrà entro la fine della prima settimana di novembre. Di queste, 36.000 sono rese disponibili per la distribuzione nelle farmacie.</w:t>
      </w:r>
    </w:p>
    <w:p w14:paraId="7F22B7CB" w14:textId="77777777" w:rsidR="00E725D4" w:rsidRDefault="00E725D4" w:rsidP="00E725D4">
      <w:pPr>
        <w:spacing w:after="0" w:line="257" w:lineRule="auto"/>
        <w:jc w:val="both"/>
        <w:rPr>
          <w:sz w:val="24"/>
          <w:szCs w:val="24"/>
        </w:rPr>
      </w:pPr>
      <w:r>
        <w:rPr>
          <w:sz w:val="24"/>
          <w:szCs w:val="24"/>
        </w:rPr>
        <w:t>Alla fine della scorsa settimana (la rilevazione è settimanale), le dosi somministrate erano 313.733, così</w:t>
      </w:r>
      <w:r>
        <w:rPr>
          <w:b/>
          <w:bCs/>
          <w:sz w:val="24"/>
          <w:szCs w:val="24"/>
        </w:rPr>
        <w:t xml:space="preserve"> </w:t>
      </w:r>
      <w:r>
        <w:rPr>
          <w:sz w:val="24"/>
          <w:szCs w:val="24"/>
        </w:rPr>
        <w:t>suddivise:</w:t>
      </w:r>
    </w:p>
    <w:tbl>
      <w:tblPr>
        <w:tblW w:w="3606" w:type="dxa"/>
        <w:tblInd w:w="-3" w:type="dxa"/>
        <w:tblCellMar>
          <w:left w:w="0" w:type="dxa"/>
          <w:right w:w="0" w:type="dxa"/>
        </w:tblCellMar>
        <w:tblLook w:val="04A0" w:firstRow="1" w:lastRow="0" w:firstColumn="1" w:lastColumn="0" w:noHBand="0" w:noVBand="1"/>
      </w:tblPr>
      <w:tblGrid>
        <w:gridCol w:w="2280"/>
        <w:gridCol w:w="1180"/>
        <w:gridCol w:w="146"/>
        <w:gridCol w:w="6"/>
      </w:tblGrid>
      <w:tr w:rsidR="00E725D4" w14:paraId="5BBA729B" w14:textId="77777777" w:rsidTr="00E725D4">
        <w:trPr>
          <w:trHeight w:val="282"/>
        </w:trPr>
        <w:tc>
          <w:tcPr>
            <w:tcW w:w="2280" w:type="dxa"/>
            <w:vMerge w:val="restart"/>
            <w:tcBorders>
              <w:top w:val="single" w:sz="8" w:space="0" w:color="B0B7BB"/>
              <w:left w:val="single" w:sz="8" w:space="0" w:color="B0B7BB"/>
              <w:bottom w:val="single" w:sz="8" w:space="0" w:color="B0B7BB"/>
              <w:right w:val="single" w:sz="8" w:space="0" w:color="B0B7BB"/>
            </w:tcBorders>
            <w:shd w:val="clear" w:color="auto" w:fill="EDF2F9"/>
            <w:noWrap/>
            <w:tcMar>
              <w:top w:w="0" w:type="dxa"/>
              <w:left w:w="70" w:type="dxa"/>
              <w:bottom w:w="0" w:type="dxa"/>
              <w:right w:w="70" w:type="dxa"/>
            </w:tcMar>
            <w:vAlign w:val="bottom"/>
            <w:hideMark/>
          </w:tcPr>
          <w:p w14:paraId="71F1E7D8" w14:textId="77777777" w:rsidR="00E725D4" w:rsidRDefault="00E725D4" w:rsidP="00E725D4">
            <w:pPr>
              <w:spacing w:after="0" w:line="257" w:lineRule="auto"/>
              <w:jc w:val="center"/>
              <w:rPr>
                <w:rFonts w:ascii="Arial" w:hAnsi="Arial" w:cs="Arial"/>
                <w:b/>
                <w:bCs/>
                <w:color w:val="112277"/>
                <w:sz w:val="19"/>
                <w:szCs w:val="19"/>
              </w:rPr>
            </w:pPr>
            <w:r>
              <w:rPr>
                <w:rFonts w:ascii="Arial" w:hAnsi="Arial" w:cs="Arial"/>
                <w:b/>
                <w:bCs/>
                <w:color w:val="112277"/>
                <w:sz w:val="19"/>
                <w:szCs w:val="19"/>
              </w:rPr>
              <w:t>Ausl registrazione</w:t>
            </w:r>
          </w:p>
        </w:tc>
        <w:tc>
          <w:tcPr>
            <w:tcW w:w="1180" w:type="dxa"/>
            <w:vMerge w:val="restart"/>
            <w:tcBorders>
              <w:top w:val="single" w:sz="8" w:space="0" w:color="B0B7BB"/>
              <w:left w:val="nil"/>
              <w:bottom w:val="single" w:sz="8" w:space="0" w:color="B0B7BB"/>
              <w:right w:val="single" w:sz="8" w:space="0" w:color="B0B7BB"/>
            </w:tcBorders>
            <w:shd w:val="clear" w:color="auto" w:fill="EDF2F9"/>
            <w:noWrap/>
            <w:tcMar>
              <w:top w:w="0" w:type="dxa"/>
              <w:left w:w="70" w:type="dxa"/>
              <w:bottom w:w="0" w:type="dxa"/>
              <w:right w:w="70" w:type="dxa"/>
            </w:tcMar>
            <w:vAlign w:val="bottom"/>
            <w:hideMark/>
          </w:tcPr>
          <w:p w14:paraId="68584878" w14:textId="77777777" w:rsidR="00E725D4" w:rsidRDefault="00E725D4" w:rsidP="00E725D4">
            <w:pPr>
              <w:spacing w:after="0" w:line="257" w:lineRule="auto"/>
              <w:jc w:val="center"/>
              <w:rPr>
                <w:rFonts w:ascii="Arial" w:hAnsi="Arial" w:cs="Arial"/>
                <w:b/>
                <w:bCs/>
                <w:color w:val="112277"/>
                <w:sz w:val="19"/>
                <w:szCs w:val="19"/>
              </w:rPr>
            </w:pPr>
            <w:r>
              <w:rPr>
                <w:rFonts w:ascii="Arial" w:hAnsi="Arial" w:cs="Arial"/>
                <w:b/>
                <w:bCs/>
                <w:color w:val="112277"/>
                <w:sz w:val="19"/>
                <w:szCs w:val="19"/>
              </w:rPr>
              <w:t>Totale</w:t>
            </w:r>
          </w:p>
        </w:tc>
        <w:tc>
          <w:tcPr>
            <w:tcW w:w="150" w:type="dxa"/>
            <w:vAlign w:val="center"/>
            <w:hideMark/>
          </w:tcPr>
          <w:p w14:paraId="1DE11F4E" w14:textId="77777777" w:rsidR="00E725D4" w:rsidRDefault="00E725D4" w:rsidP="00E725D4">
            <w:pPr>
              <w:spacing w:after="0" w:line="257" w:lineRule="auto"/>
            </w:pPr>
            <w:r>
              <w:t> </w:t>
            </w:r>
          </w:p>
        </w:tc>
        <w:tc>
          <w:tcPr>
            <w:tcW w:w="6" w:type="dxa"/>
            <w:vAlign w:val="center"/>
            <w:hideMark/>
          </w:tcPr>
          <w:p w14:paraId="607AA28A" w14:textId="77777777" w:rsidR="00E725D4" w:rsidRDefault="00E725D4" w:rsidP="00E725D4">
            <w:pPr>
              <w:spacing w:after="0" w:line="257" w:lineRule="auto"/>
            </w:pPr>
          </w:p>
        </w:tc>
      </w:tr>
      <w:tr w:rsidR="00E725D4" w14:paraId="41C789C1" w14:textId="77777777" w:rsidTr="00E725D4">
        <w:trPr>
          <w:trHeight w:val="282"/>
        </w:trPr>
        <w:tc>
          <w:tcPr>
            <w:tcW w:w="0" w:type="auto"/>
            <w:vMerge/>
            <w:tcBorders>
              <w:top w:val="single" w:sz="8" w:space="0" w:color="B0B7BB"/>
              <w:left w:val="single" w:sz="8" w:space="0" w:color="B0B7BB"/>
              <w:bottom w:val="single" w:sz="8" w:space="0" w:color="B0B7BB"/>
              <w:right w:val="single" w:sz="8" w:space="0" w:color="B0B7BB"/>
            </w:tcBorders>
            <w:vAlign w:val="center"/>
            <w:hideMark/>
          </w:tcPr>
          <w:p w14:paraId="1ACB826C" w14:textId="77777777" w:rsidR="00E725D4" w:rsidRDefault="00E725D4" w:rsidP="00E725D4">
            <w:pPr>
              <w:spacing w:after="0" w:line="257" w:lineRule="auto"/>
              <w:rPr>
                <w:rFonts w:ascii="Arial" w:hAnsi="Arial" w:cs="Arial"/>
                <w:b/>
                <w:bCs/>
                <w:color w:val="112277"/>
                <w:sz w:val="19"/>
                <w:szCs w:val="19"/>
              </w:rPr>
            </w:pPr>
          </w:p>
        </w:tc>
        <w:tc>
          <w:tcPr>
            <w:tcW w:w="0" w:type="auto"/>
            <w:vMerge/>
            <w:tcBorders>
              <w:top w:val="single" w:sz="8" w:space="0" w:color="B0B7BB"/>
              <w:left w:val="nil"/>
              <w:bottom w:val="single" w:sz="8" w:space="0" w:color="B0B7BB"/>
              <w:right w:val="single" w:sz="8" w:space="0" w:color="B0B7BB"/>
            </w:tcBorders>
            <w:vAlign w:val="center"/>
            <w:hideMark/>
          </w:tcPr>
          <w:p w14:paraId="0C57221C" w14:textId="77777777" w:rsidR="00E725D4" w:rsidRDefault="00E725D4" w:rsidP="00E725D4">
            <w:pPr>
              <w:spacing w:after="0" w:line="257" w:lineRule="auto"/>
              <w:rPr>
                <w:rFonts w:ascii="Arial" w:hAnsi="Arial" w:cs="Arial"/>
                <w:b/>
                <w:bCs/>
                <w:color w:val="112277"/>
                <w:sz w:val="19"/>
                <w:szCs w:val="19"/>
              </w:rPr>
            </w:pPr>
          </w:p>
        </w:tc>
        <w:tc>
          <w:tcPr>
            <w:tcW w:w="146" w:type="dxa"/>
            <w:shd w:val="clear" w:color="auto" w:fill="FAFBFE"/>
            <w:noWrap/>
            <w:tcMar>
              <w:top w:w="0" w:type="dxa"/>
              <w:left w:w="70" w:type="dxa"/>
              <w:bottom w:w="0" w:type="dxa"/>
              <w:right w:w="70" w:type="dxa"/>
            </w:tcMar>
            <w:vAlign w:val="bottom"/>
            <w:hideMark/>
          </w:tcPr>
          <w:p w14:paraId="05C43A7B" w14:textId="77777777" w:rsidR="00E725D4" w:rsidRDefault="00E725D4" w:rsidP="00E725D4">
            <w:pPr>
              <w:spacing w:after="0" w:line="257" w:lineRule="auto"/>
              <w:rPr>
                <w:sz w:val="20"/>
                <w:szCs w:val="20"/>
                <w:lang w:eastAsia="it-IT"/>
              </w:rPr>
            </w:pPr>
          </w:p>
        </w:tc>
        <w:tc>
          <w:tcPr>
            <w:tcW w:w="6" w:type="dxa"/>
            <w:vAlign w:val="center"/>
            <w:hideMark/>
          </w:tcPr>
          <w:p w14:paraId="54043DE6" w14:textId="77777777" w:rsidR="00E725D4" w:rsidRDefault="00E725D4" w:rsidP="00E725D4">
            <w:pPr>
              <w:spacing w:after="0" w:line="257" w:lineRule="auto"/>
              <w:rPr>
                <w:sz w:val="20"/>
                <w:szCs w:val="20"/>
                <w:lang w:eastAsia="it-IT"/>
              </w:rPr>
            </w:pPr>
          </w:p>
        </w:tc>
      </w:tr>
      <w:tr w:rsidR="00E725D4" w14:paraId="10740455" w14:textId="77777777" w:rsidTr="00E725D4">
        <w:trPr>
          <w:trHeight w:val="282"/>
        </w:trPr>
        <w:tc>
          <w:tcPr>
            <w:tcW w:w="0" w:type="auto"/>
            <w:vMerge/>
            <w:tcBorders>
              <w:top w:val="single" w:sz="8" w:space="0" w:color="B0B7BB"/>
              <w:left w:val="single" w:sz="8" w:space="0" w:color="B0B7BB"/>
              <w:bottom w:val="single" w:sz="8" w:space="0" w:color="B0B7BB"/>
              <w:right w:val="single" w:sz="8" w:space="0" w:color="B0B7BB"/>
            </w:tcBorders>
            <w:vAlign w:val="center"/>
            <w:hideMark/>
          </w:tcPr>
          <w:p w14:paraId="1EFC8BDB" w14:textId="77777777" w:rsidR="00E725D4" w:rsidRDefault="00E725D4" w:rsidP="00E725D4">
            <w:pPr>
              <w:spacing w:after="0" w:line="257" w:lineRule="auto"/>
              <w:rPr>
                <w:rFonts w:ascii="Arial" w:hAnsi="Arial" w:cs="Arial"/>
                <w:b/>
                <w:bCs/>
                <w:color w:val="112277"/>
                <w:sz w:val="19"/>
                <w:szCs w:val="19"/>
              </w:rPr>
            </w:pPr>
          </w:p>
        </w:tc>
        <w:tc>
          <w:tcPr>
            <w:tcW w:w="0" w:type="auto"/>
            <w:vMerge/>
            <w:tcBorders>
              <w:top w:val="single" w:sz="8" w:space="0" w:color="B0B7BB"/>
              <w:left w:val="nil"/>
              <w:bottom w:val="single" w:sz="8" w:space="0" w:color="B0B7BB"/>
              <w:right w:val="single" w:sz="8" w:space="0" w:color="B0B7BB"/>
            </w:tcBorders>
            <w:vAlign w:val="center"/>
            <w:hideMark/>
          </w:tcPr>
          <w:p w14:paraId="598E02C2" w14:textId="77777777" w:rsidR="00E725D4" w:rsidRDefault="00E725D4" w:rsidP="00E725D4">
            <w:pPr>
              <w:spacing w:after="0" w:line="257" w:lineRule="auto"/>
              <w:rPr>
                <w:rFonts w:ascii="Arial" w:hAnsi="Arial" w:cs="Arial"/>
                <w:b/>
                <w:bCs/>
                <w:color w:val="112277"/>
                <w:sz w:val="19"/>
                <w:szCs w:val="19"/>
              </w:rPr>
            </w:pPr>
          </w:p>
        </w:tc>
        <w:tc>
          <w:tcPr>
            <w:tcW w:w="146" w:type="dxa"/>
            <w:shd w:val="clear" w:color="auto" w:fill="FAFBFE"/>
            <w:noWrap/>
            <w:tcMar>
              <w:top w:w="0" w:type="dxa"/>
              <w:left w:w="70" w:type="dxa"/>
              <w:bottom w:w="0" w:type="dxa"/>
              <w:right w:w="70" w:type="dxa"/>
            </w:tcMar>
            <w:vAlign w:val="bottom"/>
            <w:hideMark/>
          </w:tcPr>
          <w:p w14:paraId="380CC124" w14:textId="77777777" w:rsidR="00E725D4" w:rsidRDefault="00E725D4" w:rsidP="00E725D4">
            <w:pPr>
              <w:spacing w:after="0" w:line="257" w:lineRule="auto"/>
              <w:rPr>
                <w:sz w:val="20"/>
                <w:szCs w:val="20"/>
                <w:lang w:eastAsia="it-IT"/>
              </w:rPr>
            </w:pPr>
          </w:p>
        </w:tc>
        <w:tc>
          <w:tcPr>
            <w:tcW w:w="6" w:type="dxa"/>
            <w:vAlign w:val="center"/>
            <w:hideMark/>
          </w:tcPr>
          <w:p w14:paraId="5C5A54CC" w14:textId="77777777" w:rsidR="00E725D4" w:rsidRDefault="00E725D4" w:rsidP="00E725D4">
            <w:pPr>
              <w:spacing w:after="0" w:line="257" w:lineRule="auto"/>
              <w:rPr>
                <w:sz w:val="20"/>
                <w:szCs w:val="20"/>
                <w:lang w:eastAsia="it-IT"/>
              </w:rPr>
            </w:pPr>
          </w:p>
        </w:tc>
      </w:tr>
      <w:tr w:rsidR="00E725D4" w14:paraId="73B8A385" w14:textId="77777777" w:rsidTr="00E725D4">
        <w:trPr>
          <w:trHeight w:val="582"/>
        </w:trPr>
        <w:tc>
          <w:tcPr>
            <w:tcW w:w="0" w:type="auto"/>
            <w:vMerge/>
            <w:tcBorders>
              <w:top w:val="single" w:sz="8" w:space="0" w:color="B0B7BB"/>
              <w:left w:val="single" w:sz="8" w:space="0" w:color="B0B7BB"/>
              <w:bottom w:val="single" w:sz="8" w:space="0" w:color="B0B7BB"/>
              <w:right w:val="single" w:sz="8" w:space="0" w:color="B0B7BB"/>
            </w:tcBorders>
            <w:vAlign w:val="center"/>
            <w:hideMark/>
          </w:tcPr>
          <w:p w14:paraId="4DD6EBC6" w14:textId="77777777" w:rsidR="00E725D4" w:rsidRDefault="00E725D4" w:rsidP="00E725D4">
            <w:pPr>
              <w:spacing w:after="0" w:line="257" w:lineRule="auto"/>
              <w:rPr>
                <w:rFonts w:ascii="Arial" w:hAnsi="Arial" w:cs="Arial"/>
                <w:b/>
                <w:bCs/>
                <w:color w:val="112277"/>
                <w:sz w:val="19"/>
                <w:szCs w:val="19"/>
              </w:rPr>
            </w:pPr>
          </w:p>
        </w:tc>
        <w:tc>
          <w:tcPr>
            <w:tcW w:w="0" w:type="auto"/>
            <w:vMerge/>
            <w:tcBorders>
              <w:top w:val="single" w:sz="8" w:space="0" w:color="B0B7BB"/>
              <w:left w:val="nil"/>
              <w:bottom w:val="single" w:sz="8" w:space="0" w:color="B0B7BB"/>
              <w:right w:val="single" w:sz="8" w:space="0" w:color="B0B7BB"/>
            </w:tcBorders>
            <w:vAlign w:val="center"/>
            <w:hideMark/>
          </w:tcPr>
          <w:p w14:paraId="491FDBED" w14:textId="77777777" w:rsidR="00E725D4" w:rsidRDefault="00E725D4" w:rsidP="00E725D4">
            <w:pPr>
              <w:spacing w:after="0" w:line="257" w:lineRule="auto"/>
              <w:rPr>
                <w:rFonts w:ascii="Arial" w:hAnsi="Arial" w:cs="Arial"/>
                <w:b/>
                <w:bCs/>
                <w:color w:val="112277"/>
                <w:sz w:val="19"/>
                <w:szCs w:val="19"/>
              </w:rPr>
            </w:pPr>
          </w:p>
        </w:tc>
        <w:tc>
          <w:tcPr>
            <w:tcW w:w="146" w:type="dxa"/>
            <w:shd w:val="clear" w:color="auto" w:fill="FAFBFE"/>
            <w:noWrap/>
            <w:tcMar>
              <w:top w:w="0" w:type="dxa"/>
              <w:left w:w="70" w:type="dxa"/>
              <w:bottom w:w="0" w:type="dxa"/>
              <w:right w:w="70" w:type="dxa"/>
            </w:tcMar>
            <w:vAlign w:val="bottom"/>
            <w:hideMark/>
          </w:tcPr>
          <w:p w14:paraId="6644FA7F" w14:textId="77777777" w:rsidR="00E725D4" w:rsidRDefault="00E725D4" w:rsidP="00E725D4">
            <w:pPr>
              <w:spacing w:after="0" w:line="257" w:lineRule="auto"/>
              <w:rPr>
                <w:sz w:val="20"/>
                <w:szCs w:val="20"/>
                <w:lang w:eastAsia="it-IT"/>
              </w:rPr>
            </w:pPr>
          </w:p>
        </w:tc>
        <w:tc>
          <w:tcPr>
            <w:tcW w:w="6" w:type="dxa"/>
            <w:vAlign w:val="center"/>
            <w:hideMark/>
          </w:tcPr>
          <w:p w14:paraId="7F4ACD73" w14:textId="77777777" w:rsidR="00E725D4" w:rsidRDefault="00E725D4" w:rsidP="00E725D4">
            <w:pPr>
              <w:spacing w:after="0" w:line="257" w:lineRule="auto"/>
              <w:rPr>
                <w:sz w:val="20"/>
                <w:szCs w:val="20"/>
                <w:lang w:eastAsia="it-IT"/>
              </w:rPr>
            </w:pPr>
          </w:p>
        </w:tc>
      </w:tr>
      <w:tr w:rsidR="00E725D4" w14:paraId="0D58EF1F" w14:textId="77777777" w:rsidTr="00E725D4">
        <w:trPr>
          <w:trHeight w:val="282"/>
        </w:trPr>
        <w:tc>
          <w:tcPr>
            <w:tcW w:w="2280" w:type="dxa"/>
            <w:tcBorders>
              <w:top w:val="nil"/>
              <w:left w:val="single" w:sz="8" w:space="0" w:color="B0B7BB"/>
              <w:bottom w:val="single" w:sz="8" w:space="0" w:color="B0B7BB"/>
              <w:right w:val="single" w:sz="8" w:space="0" w:color="B0B7BB"/>
            </w:tcBorders>
            <w:shd w:val="clear" w:color="auto" w:fill="EDF2F9"/>
            <w:noWrap/>
            <w:tcMar>
              <w:top w:w="0" w:type="dxa"/>
              <w:left w:w="70" w:type="dxa"/>
              <w:bottom w:w="0" w:type="dxa"/>
              <w:right w:w="70" w:type="dxa"/>
            </w:tcMar>
            <w:hideMark/>
          </w:tcPr>
          <w:p w14:paraId="0D661124" w14:textId="77777777" w:rsidR="00E725D4" w:rsidRDefault="00E725D4" w:rsidP="00E725D4">
            <w:pPr>
              <w:spacing w:after="0" w:line="257" w:lineRule="auto"/>
              <w:rPr>
                <w:rFonts w:ascii="Arial" w:hAnsi="Arial" w:cs="Arial"/>
                <w:b/>
                <w:bCs/>
                <w:color w:val="112277"/>
                <w:sz w:val="19"/>
                <w:szCs w:val="19"/>
              </w:rPr>
            </w:pPr>
            <w:r>
              <w:rPr>
                <w:rFonts w:ascii="Arial" w:hAnsi="Arial" w:cs="Arial"/>
                <w:b/>
                <w:bCs/>
                <w:color w:val="112277"/>
                <w:sz w:val="19"/>
                <w:szCs w:val="19"/>
              </w:rPr>
              <w:t>Ausl Piacenza</w:t>
            </w:r>
          </w:p>
        </w:tc>
        <w:tc>
          <w:tcPr>
            <w:tcW w:w="1180" w:type="dxa"/>
            <w:tcBorders>
              <w:top w:val="nil"/>
              <w:left w:val="nil"/>
              <w:bottom w:val="single" w:sz="8" w:space="0" w:color="C1C1C1"/>
              <w:right w:val="single" w:sz="8" w:space="0" w:color="C1C1C1"/>
            </w:tcBorders>
            <w:shd w:val="clear" w:color="auto" w:fill="FFFFFF"/>
            <w:noWrap/>
            <w:tcMar>
              <w:top w:w="0" w:type="dxa"/>
              <w:left w:w="70" w:type="dxa"/>
              <w:bottom w:w="0" w:type="dxa"/>
              <w:right w:w="70" w:type="dxa"/>
            </w:tcMar>
            <w:vAlign w:val="bottom"/>
            <w:hideMark/>
          </w:tcPr>
          <w:p w14:paraId="1FAC543E" w14:textId="77777777" w:rsidR="00E725D4" w:rsidRDefault="00E725D4" w:rsidP="00E725D4">
            <w:pPr>
              <w:spacing w:after="0" w:line="257" w:lineRule="auto"/>
              <w:rPr>
                <w:rFonts w:ascii="Arial" w:hAnsi="Arial" w:cs="Arial"/>
                <w:color w:val="000000"/>
                <w:sz w:val="19"/>
                <w:szCs w:val="19"/>
              </w:rPr>
            </w:pPr>
            <w:r>
              <w:rPr>
                <w:rFonts w:ascii="Arial" w:hAnsi="Arial" w:cs="Arial"/>
                <w:color w:val="000000"/>
                <w:sz w:val="19"/>
                <w:szCs w:val="19"/>
              </w:rPr>
              <w:t>       24.156</w:t>
            </w:r>
          </w:p>
        </w:tc>
        <w:tc>
          <w:tcPr>
            <w:tcW w:w="146" w:type="dxa"/>
            <w:tcMar>
              <w:top w:w="0" w:type="dxa"/>
              <w:left w:w="70" w:type="dxa"/>
              <w:bottom w:w="0" w:type="dxa"/>
              <w:right w:w="70" w:type="dxa"/>
            </w:tcMar>
            <w:vAlign w:val="center"/>
            <w:hideMark/>
          </w:tcPr>
          <w:p w14:paraId="312890E9" w14:textId="77777777" w:rsidR="00E725D4" w:rsidRDefault="00E725D4" w:rsidP="00E725D4">
            <w:pPr>
              <w:spacing w:after="0" w:line="257" w:lineRule="auto"/>
              <w:rPr>
                <w:rFonts w:ascii="Arial" w:hAnsi="Arial" w:cs="Arial"/>
                <w:color w:val="000000"/>
                <w:sz w:val="19"/>
                <w:szCs w:val="19"/>
              </w:rPr>
            </w:pPr>
          </w:p>
        </w:tc>
        <w:tc>
          <w:tcPr>
            <w:tcW w:w="6" w:type="dxa"/>
            <w:vAlign w:val="center"/>
            <w:hideMark/>
          </w:tcPr>
          <w:p w14:paraId="7C4C11EF" w14:textId="77777777" w:rsidR="00E725D4" w:rsidRDefault="00E725D4" w:rsidP="00E725D4">
            <w:pPr>
              <w:spacing w:after="0" w:line="257" w:lineRule="auto"/>
              <w:rPr>
                <w:sz w:val="20"/>
                <w:szCs w:val="20"/>
                <w:lang w:eastAsia="it-IT"/>
              </w:rPr>
            </w:pPr>
          </w:p>
        </w:tc>
      </w:tr>
      <w:tr w:rsidR="00E725D4" w14:paraId="3B9322FA" w14:textId="77777777" w:rsidTr="00E725D4">
        <w:trPr>
          <w:trHeight w:val="282"/>
        </w:trPr>
        <w:tc>
          <w:tcPr>
            <w:tcW w:w="2280" w:type="dxa"/>
            <w:tcBorders>
              <w:top w:val="nil"/>
              <w:left w:val="single" w:sz="8" w:space="0" w:color="B0B7BB"/>
              <w:bottom w:val="single" w:sz="8" w:space="0" w:color="B0B7BB"/>
              <w:right w:val="single" w:sz="8" w:space="0" w:color="B0B7BB"/>
            </w:tcBorders>
            <w:shd w:val="clear" w:color="auto" w:fill="EDF2F9"/>
            <w:noWrap/>
            <w:tcMar>
              <w:top w:w="0" w:type="dxa"/>
              <w:left w:w="70" w:type="dxa"/>
              <w:bottom w:w="0" w:type="dxa"/>
              <w:right w:w="70" w:type="dxa"/>
            </w:tcMar>
            <w:hideMark/>
          </w:tcPr>
          <w:p w14:paraId="27DA1DF4" w14:textId="77777777" w:rsidR="00E725D4" w:rsidRDefault="00E725D4" w:rsidP="00E725D4">
            <w:pPr>
              <w:spacing w:after="0" w:line="257" w:lineRule="auto"/>
              <w:rPr>
                <w:rFonts w:ascii="Arial" w:hAnsi="Arial" w:cs="Arial"/>
                <w:b/>
                <w:bCs/>
                <w:color w:val="112277"/>
                <w:sz w:val="19"/>
                <w:szCs w:val="19"/>
              </w:rPr>
            </w:pPr>
            <w:r>
              <w:rPr>
                <w:rFonts w:ascii="Arial" w:hAnsi="Arial" w:cs="Arial"/>
                <w:b/>
                <w:bCs/>
                <w:color w:val="112277"/>
                <w:sz w:val="19"/>
                <w:szCs w:val="19"/>
              </w:rPr>
              <w:t>Ausl Parma</w:t>
            </w:r>
          </w:p>
        </w:tc>
        <w:tc>
          <w:tcPr>
            <w:tcW w:w="1180" w:type="dxa"/>
            <w:tcBorders>
              <w:top w:val="nil"/>
              <w:left w:val="nil"/>
              <w:bottom w:val="single" w:sz="8" w:space="0" w:color="C1C1C1"/>
              <w:right w:val="single" w:sz="8" w:space="0" w:color="C1C1C1"/>
            </w:tcBorders>
            <w:shd w:val="clear" w:color="auto" w:fill="FFFFFF"/>
            <w:noWrap/>
            <w:tcMar>
              <w:top w:w="0" w:type="dxa"/>
              <w:left w:w="70" w:type="dxa"/>
              <w:bottom w:w="0" w:type="dxa"/>
              <w:right w:w="70" w:type="dxa"/>
            </w:tcMar>
            <w:vAlign w:val="bottom"/>
            <w:hideMark/>
          </w:tcPr>
          <w:p w14:paraId="75BBDB20" w14:textId="77777777" w:rsidR="00E725D4" w:rsidRDefault="00E725D4" w:rsidP="00E725D4">
            <w:pPr>
              <w:spacing w:after="0" w:line="257" w:lineRule="auto"/>
              <w:jc w:val="right"/>
              <w:rPr>
                <w:rFonts w:ascii="Arial" w:hAnsi="Arial" w:cs="Arial"/>
                <w:color w:val="000000"/>
                <w:sz w:val="19"/>
                <w:szCs w:val="19"/>
              </w:rPr>
            </w:pPr>
            <w:r>
              <w:rPr>
                <w:rFonts w:ascii="Arial" w:hAnsi="Arial" w:cs="Arial"/>
                <w:color w:val="000000"/>
                <w:sz w:val="19"/>
                <w:szCs w:val="19"/>
              </w:rPr>
              <w:t xml:space="preserve">       35.521 </w:t>
            </w:r>
          </w:p>
        </w:tc>
        <w:tc>
          <w:tcPr>
            <w:tcW w:w="146" w:type="dxa"/>
            <w:tcMar>
              <w:top w:w="0" w:type="dxa"/>
              <w:left w:w="70" w:type="dxa"/>
              <w:bottom w:w="0" w:type="dxa"/>
              <w:right w:w="70" w:type="dxa"/>
            </w:tcMar>
            <w:vAlign w:val="center"/>
            <w:hideMark/>
          </w:tcPr>
          <w:p w14:paraId="42D25163" w14:textId="77777777" w:rsidR="00E725D4" w:rsidRDefault="00E725D4" w:rsidP="00E725D4">
            <w:pPr>
              <w:spacing w:after="0" w:line="257" w:lineRule="auto"/>
              <w:rPr>
                <w:rFonts w:ascii="Arial" w:hAnsi="Arial" w:cs="Arial"/>
                <w:color w:val="000000"/>
                <w:sz w:val="19"/>
                <w:szCs w:val="19"/>
              </w:rPr>
            </w:pPr>
          </w:p>
        </w:tc>
        <w:tc>
          <w:tcPr>
            <w:tcW w:w="6" w:type="dxa"/>
            <w:vAlign w:val="center"/>
            <w:hideMark/>
          </w:tcPr>
          <w:p w14:paraId="1989190F" w14:textId="77777777" w:rsidR="00E725D4" w:rsidRDefault="00E725D4" w:rsidP="00E725D4">
            <w:pPr>
              <w:spacing w:after="0" w:line="257" w:lineRule="auto"/>
              <w:rPr>
                <w:sz w:val="20"/>
                <w:szCs w:val="20"/>
                <w:lang w:eastAsia="it-IT"/>
              </w:rPr>
            </w:pPr>
          </w:p>
        </w:tc>
      </w:tr>
      <w:tr w:rsidR="00E725D4" w14:paraId="2696B0A4" w14:textId="77777777" w:rsidTr="00E725D4">
        <w:trPr>
          <w:trHeight w:val="282"/>
        </w:trPr>
        <w:tc>
          <w:tcPr>
            <w:tcW w:w="2280" w:type="dxa"/>
            <w:tcBorders>
              <w:top w:val="nil"/>
              <w:left w:val="single" w:sz="8" w:space="0" w:color="B0B7BB"/>
              <w:bottom w:val="single" w:sz="8" w:space="0" w:color="B0B7BB"/>
              <w:right w:val="single" w:sz="8" w:space="0" w:color="B0B7BB"/>
            </w:tcBorders>
            <w:shd w:val="clear" w:color="auto" w:fill="EDF2F9"/>
            <w:noWrap/>
            <w:tcMar>
              <w:top w:w="0" w:type="dxa"/>
              <w:left w:w="70" w:type="dxa"/>
              <w:bottom w:w="0" w:type="dxa"/>
              <w:right w:w="70" w:type="dxa"/>
            </w:tcMar>
            <w:hideMark/>
          </w:tcPr>
          <w:p w14:paraId="16B19216" w14:textId="77777777" w:rsidR="00E725D4" w:rsidRDefault="00E725D4" w:rsidP="00E725D4">
            <w:pPr>
              <w:spacing w:after="0" w:line="257" w:lineRule="auto"/>
              <w:rPr>
                <w:rFonts w:ascii="Arial" w:hAnsi="Arial" w:cs="Arial"/>
                <w:b/>
                <w:bCs/>
                <w:color w:val="112277"/>
                <w:sz w:val="19"/>
                <w:szCs w:val="19"/>
              </w:rPr>
            </w:pPr>
            <w:r>
              <w:rPr>
                <w:rFonts w:ascii="Arial" w:hAnsi="Arial" w:cs="Arial"/>
                <w:b/>
                <w:bCs/>
                <w:color w:val="112277"/>
                <w:sz w:val="19"/>
                <w:szCs w:val="19"/>
              </w:rPr>
              <w:t>Ausl Reggio Emilia</w:t>
            </w:r>
          </w:p>
        </w:tc>
        <w:tc>
          <w:tcPr>
            <w:tcW w:w="1180" w:type="dxa"/>
            <w:tcBorders>
              <w:top w:val="nil"/>
              <w:left w:val="nil"/>
              <w:bottom w:val="single" w:sz="8" w:space="0" w:color="C1C1C1"/>
              <w:right w:val="single" w:sz="8" w:space="0" w:color="C1C1C1"/>
            </w:tcBorders>
            <w:shd w:val="clear" w:color="auto" w:fill="FFFFFF"/>
            <w:noWrap/>
            <w:tcMar>
              <w:top w:w="0" w:type="dxa"/>
              <w:left w:w="70" w:type="dxa"/>
              <w:bottom w:w="0" w:type="dxa"/>
              <w:right w:w="70" w:type="dxa"/>
            </w:tcMar>
            <w:vAlign w:val="bottom"/>
            <w:hideMark/>
          </w:tcPr>
          <w:p w14:paraId="353E117C" w14:textId="77777777" w:rsidR="00E725D4" w:rsidRDefault="00E725D4" w:rsidP="00E725D4">
            <w:pPr>
              <w:spacing w:after="0" w:line="257" w:lineRule="auto"/>
              <w:jc w:val="right"/>
              <w:rPr>
                <w:rFonts w:ascii="Arial" w:hAnsi="Arial" w:cs="Arial"/>
                <w:color w:val="000000"/>
                <w:sz w:val="19"/>
                <w:szCs w:val="19"/>
              </w:rPr>
            </w:pPr>
            <w:r>
              <w:rPr>
                <w:rFonts w:ascii="Arial" w:hAnsi="Arial" w:cs="Arial"/>
                <w:color w:val="000000"/>
                <w:sz w:val="19"/>
                <w:szCs w:val="19"/>
              </w:rPr>
              <w:t xml:space="preserve">       29.587 </w:t>
            </w:r>
          </w:p>
        </w:tc>
        <w:tc>
          <w:tcPr>
            <w:tcW w:w="146" w:type="dxa"/>
            <w:tcMar>
              <w:top w:w="0" w:type="dxa"/>
              <w:left w:w="70" w:type="dxa"/>
              <w:bottom w:w="0" w:type="dxa"/>
              <w:right w:w="70" w:type="dxa"/>
            </w:tcMar>
            <w:vAlign w:val="center"/>
            <w:hideMark/>
          </w:tcPr>
          <w:p w14:paraId="2931A46E" w14:textId="77777777" w:rsidR="00E725D4" w:rsidRDefault="00E725D4" w:rsidP="00E725D4">
            <w:pPr>
              <w:spacing w:after="0" w:line="257" w:lineRule="auto"/>
              <w:rPr>
                <w:rFonts w:ascii="Arial" w:hAnsi="Arial" w:cs="Arial"/>
                <w:color w:val="000000"/>
                <w:sz w:val="19"/>
                <w:szCs w:val="19"/>
              </w:rPr>
            </w:pPr>
          </w:p>
        </w:tc>
        <w:tc>
          <w:tcPr>
            <w:tcW w:w="6" w:type="dxa"/>
            <w:vAlign w:val="center"/>
            <w:hideMark/>
          </w:tcPr>
          <w:p w14:paraId="707DD664" w14:textId="77777777" w:rsidR="00E725D4" w:rsidRDefault="00E725D4" w:rsidP="00E725D4">
            <w:pPr>
              <w:spacing w:after="0" w:line="257" w:lineRule="auto"/>
              <w:rPr>
                <w:sz w:val="20"/>
                <w:szCs w:val="20"/>
                <w:lang w:eastAsia="it-IT"/>
              </w:rPr>
            </w:pPr>
          </w:p>
        </w:tc>
      </w:tr>
      <w:tr w:rsidR="00E725D4" w14:paraId="26C5B06A" w14:textId="77777777" w:rsidTr="00E725D4">
        <w:trPr>
          <w:trHeight w:val="282"/>
        </w:trPr>
        <w:tc>
          <w:tcPr>
            <w:tcW w:w="2280" w:type="dxa"/>
            <w:tcBorders>
              <w:top w:val="nil"/>
              <w:left w:val="single" w:sz="8" w:space="0" w:color="B0B7BB"/>
              <w:bottom w:val="single" w:sz="8" w:space="0" w:color="B0B7BB"/>
              <w:right w:val="single" w:sz="8" w:space="0" w:color="B0B7BB"/>
            </w:tcBorders>
            <w:shd w:val="clear" w:color="auto" w:fill="EDF2F9"/>
            <w:noWrap/>
            <w:tcMar>
              <w:top w:w="0" w:type="dxa"/>
              <w:left w:w="70" w:type="dxa"/>
              <w:bottom w:w="0" w:type="dxa"/>
              <w:right w:w="70" w:type="dxa"/>
            </w:tcMar>
            <w:hideMark/>
          </w:tcPr>
          <w:p w14:paraId="7E035638" w14:textId="77777777" w:rsidR="00E725D4" w:rsidRDefault="00E725D4" w:rsidP="00E725D4">
            <w:pPr>
              <w:spacing w:after="0" w:line="257" w:lineRule="auto"/>
              <w:rPr>
                <w:rFonts w:ascii="Arial" w:hAnsi="Arial" w:cs="Arial"/>
                <w:b/>
                <w:bCs/>
                <w:color w:val="112277"/>
                <w:sz w:val="19"/>
                <w:szCs w:val="19"/>
              </w:rPr>
            </w:pPr>
            <w:r>
              <w:rPr>
                <w:rFonts w:ascii="Arial" w:hAnsi="Arial" w:cs="Arial"/>
                <w:b/>
                <w:bCs/>
                <w:color w:val="112277"/>
                <w:sz w:val="19"/>
                <w:szCs w:val="19"/>
              </w:rPr>
              <w:t>Ausl Modena</w:t>
            </w:r>
          </w:p>
        </w:tc>
        <w:tc>
          <w:tcPr>
            <w:tcW w:w="1180" w:type="dxa"/>
            <w:tcBorders>
              <w:top w:val="nil"/>
              <w:left w:val="nil"/>
              <w:bottom w:val="single" w:sz="8" w:space="0" w:color="C1C1C1"/>
              <w:right w:val="single" w:sz="8" w:space="0" w:color="C1C1C1"/>
            </w:tcBorders>
            <w:shd w:val="clear" w:color="auto" w:fill="FFFFFF"/>
            <w:noWrap/>
            <w:tcMar>
              <w:top w:w="0" w:type="dxa"/>
              <w:left w:w="70" w:type="dxa"/>
              <w:bottom w:w="0" w:type="dxa"/>
              <w:right w:w="70" w:type="dxa"/>
            </w:tcMar>
            <w:vAlign w:val="bottom"/>
            <w:hideMark/>
          </w:tcPr>
          <w:p w14:paraId="610FAFF5" w14:textId="77777777" w:rsidR="00E725D4" w:rsidRDefault="00E725D4" w:rsidP="00E725D4">
            <w:pPr>
              <w:spacing w:after="0" w:line="257" w:lineRule="auto"/>
              <w:jc w:val="right"/>
              <w:rPr>
                <w:rFonts w:ascii="Arial" w:hAnsi="Arial" w:cs="Arial"/>
                <w:color w:val="000000"/>
                <w:sz w:val="19"/>
                <w:szCs w:val="19"/>
              </w:rPr>
            </w:pPr>
            <w:r>
              <w:rPr>
                <w:rFonts w:ascii="Arial" w:hAnsi="Arial" w:cs="Arial"/>
                <w:color w:val="000000"/>
                <w:sz w:val="19"/>
                <w:szCs w:val="19"/>
              </w:rPr>
              <w:t xml:space="preserve">       40.122 </w:t>
            </w:r>
          </w:p>
        </w:tc>
        <w:tc>
          <w:tcPr>
            <w:tcW w:w="146" w:type="dxa"/>
            <w:tcMar>
              <w:top w:w="0" w:type="dxa"/>
              <w:left w:w="70" w:type="dxa"/>
              <w:bottom w:w="0" w:type="dxa"/>
              <w:right w:w="70" w:type="dxa"/>
            </w:tcMar>
            <w:vAlign w:val="center"/>
            <w:hideMark/>
          </w:tcPr>
          <w:p w14:paraId="31DE2F88" w14:textId="77777777" w:rsidR="00E725D4" w:rsidRDefault="00E725D4" w:rsidP="00E725D4">
            <w:pPr>
              <w:spacing w:after="0" w:line="257" w:lineRule="auto"/>
              <w:rPr>
                <w:rFonts w:ascii="Arial" w:hAnsi="Arial" w:cs="Arial"/>
                <w:color w:val="000000"/>
                <w:sz w:val="19"/>
                <w:szCs w:val="19"/>
              </w:rPr>
            </w:pPr>
          </w:p>
        </w:tc>
        <w:tc>
          <w:tcPr>
            <w:tcW w:w="6" w:type="dxa"/>
            <w:vAlign w:val="center"/>
            <w:hideMark/>
          </w:tcPr>
          <w:p w14:paraId="33D252F8" w14:textId="77777777" w:rsidR="00E725D4" w:rsidRDefault="00E725D4" w:rsidP="00E725D4">
            <w:pPr>
              <w:spacing w:after="0" w:line="257" w:lineRule="auto"/>
              <w:rPr>
                <w:sz w:val="20"/>
                <w:szCs w:val="20"/>
                <w:lang w:eastAsia="it-IT"/>
              </w:rPr>
            </w:pPr>
          </w:p>
        </w:tc>
      </w:tr>
      <w:tr w:rsidR="00E725D4" w14:paraId="3FC62634" w14:textId="77777777" w:rsidTr="00E725D4">
        <w:trPr>
          <w:trHeight w:val="282"/>
        </w:trPr>
        <w:tc>
          <w:tcPr>
            <w:tcW w:w="2280" w:type="dxa"/>
            <w:tcBorders>
              <w:top w:val="nil"/>
              <w:left w:val="single" w:sz="8" w:space="0" w:color="B0B7BB"/>
              <w:bottom w:val="single" w:sz="8" w:space="0" w:color="B0B7BB"/>
              <w:right w:val="single" w:sz="8" w:space="0" w:color="B0B7BB"/>
            </w:tcBorders>
            <w:shd w:val="clear" w:color="auto" w:fill="EDF2F9"/>
            <w:noWrap/>
            <w:tcMar>
              <w:top w:w="0" w:type="dxa"/>
              <w:left w:w="70" w:type="dxa"/>
              <w:bottom w:w="0" w:type="dxa"/>
              <w:right w:w="70" w:type="dxa"/>
            </w:tcMar>
            <w:hideMark/>
          </w:tcPr>
          <w:p w14:paraId="090D8E74" w14:textId="77777777" w:rsidR="00E725D4" w:rsidRDefault="00E725D4" w:rsidP="00E725D4">
            <w:pPr>
              <w:spacing w:after="0" w:line="257" w:lineRule="auto"/>
              <w:rPr>
                <w:rFonts w:ascii="Arial" w:hAnsi="Arial" w:cs="Arial"/>
                <w:b/>
                <w:bCs/>
                <w:color w:val="112277"/>
                <w:sz w:val="19"/>
                <w:szCs w:val="19"/>
              </w:rPr>
            </w:pPr>
            <w:r>
              <w:rPr>
                <w:rFonts w:ascii="Arial" w:hAnsi="Arial" w:cs="Arial"/>
                <w:b/>
                <w:bCs/>
                <w:color w:val="112277"/>
                <w:sz w:val="19"/>
                <w:szCs w:val="19"/>
              </w:rPr>
              <w:t>Ausl Bologna</w:t>
            </w:r>
          </w:p>
        </w:tc>
        <w:tc>
          <w:tcPr>
            <w:tcW w:w="1180" w:type="dxa"/>
            <w:tcBorders>
              <w:top w:val="nil"/>
              <w:left w:val="nil"/>
              <w:bottom w:val="single" w:sz="8" w:space="0" w:color="C1C1C1"/>
              <w:right w:val="single" w:sz="8" w:space="0" w:color="C1C1C1"/>
            </w:tcBorders>
            <w:shd w:val="clear" w:color="auto" w:fill="FFFFFF"/>
            <w:noWrap/>
            <w:tcMar>
              <w:top w:w="0" w:type="dxa"/>
              <w:left w:w="70" w:type="dxa"/>
              <w:bottom w:w="0" w:type="dxa"/>
              <w:right w:w="70" w:type="dxa"/>
            </w:tcMar>
            <w:vAlign w:val="bottom"/>
            <w:hideMark/>
          </w:tcPr>
          <w:p w14:paraId="681EB79A" w14:textId="77777777" w:rsidR="00E725D4" w:rsidRDefault="00E725D4" w:rsidP="00E725D4">
            <w:pPr>
              <w:spacing w:after="0" w:line="257" w:lineRule="auto"/>
              <w:jc w:val="right"/>
              <w:rPr>
                <w:rFonts w:ascii="Arial" w:hAnsi="Arial" w:cs="Arial"/>
                <w:color w:val="000000"/>
                <w:sz w:val="19"/>
                <w:szCs w:val="19"/>
              </w:rPr>
            </w:pPr>
            <w:r>
              <w:rPr>
                <w:rFonts w:ascii="Arial" w:hAnsi="Arial" w:cs="Arial"/>
                <w:color w:val="000000"/>
                <w:sz w:val="19"/>
                <w:szCs w:val="19"/>
              </w:rPr>
              <w:t xml:space="preserve">       71.291 </w:t>
            </w:r>
          </w:p>
        </w:tc>
        <w:tc>
          <w:tcPr>
            <w:tcW w:w="146" w:type="dxa"/>
            <w:tcMar>
              <w:top w:w="0" w:type="dxa"/>
              <w:left w:w="70" w:type="dxa"/>
              <w:bottom w:w="0" w:type="dxa"/>
              <w:right w:w="70" w:type="dxa"/>
            </w:tcMar>
            <w:vAlign w:val="center"/>
            <w:hideMark/>
          </w:tcPr>
          <w:p w14:paraId="7D768960" w14:textId="77777777" w:rsidR="00E725D4" w:rsidRDefault="00E725D4" w:rsidP="00E725D4">
            <w:pPr>
              <w:spacing w:after="0" w:line="257" w:lineRule="auto"/>
              <w:rPr>
                <w:rFonts w:ascii="Arial" w:hAnsi="Arial" w:cs="Arial"/>
                <w:color w:val="000000"/>
                <w:sz w:val="19"/>
                <w:szCs w:val="19"/>
              </w:rPr>
            </w:pPr>
          </w:p>
        </w:tc>
        <w:tc>
          <w:tcPr>
            <w:tcW w:w="6" w:type="dxa"/>
            <w:vAlign w:val="center"/>
            <w:hideMark/>
          </w:tcPr>
          <w:p w14:paraId="4781206F" w14:textId="77777777" w:rsidR="00E725D4" w:rsidRDefault="00E725D4" w:rsidP="00E725D4">
            <w:pPr>
              <w:spacing w:after="0" w:line="257" w:lineRule="auto"/>
              <w:rPr>
                <w:sz w:val="20"/>
                <w:szCs w:val="20"/>
                <w:lang w:eastAsia="it-IT"/>
              </w:rPr>
            </w:pPr>
          </w:p>
        </w:tc>
      </w:tr>
      <w:tr w:rsidR="00E725D4" w14:paraId="1885E55A" w14:textId="77777777" w:rsidTr="00E725D4">
        <w:trPr>
          <w:trHeight w:val="282"/>
        </w:trPr>
        <w:tc>
          <w:tcPr>
            <w:tcW w:w="2280" w:type="dxa"/>
            <w:tcBorders>
              <w:top w:val="nil"/>
              <w:left w:val="single" w:sz="8" w:space="0" w:color="B0B7BB"/>
              <w:bottom w:val="single" w:sz="8" w:space="0" w:color="B0B7BB"/>
              <w:right w:val="single" w:sz="8" w:space="0" w:color="B0B7BB"/>
            </w:tcBorders>
            <w:shd w:val="clear" w:color="auto" w:fill="EDF2F9"/>
            <w:noWrap/>
            <w:tcMar>
              <w:top w:w="0" w:type="dxa"/>
              <w:left w:w="70" w:type="dxa"/>
              <w:bottom w:w="0" w:type="dxa"/>
              <w:right w:w="70" w:type="dxa"/>
            </w:tcMar>
            <w:hideMark/>
          </w:tcPr>
          <w:p w14:paraId="2FB4779A" w14:textId="77777777" w:rsidR="00E725D4" w:rsidRDefault="00E725D4" w:rsidP="00E725D4">
            <w:pPr>
              <w:spacing w:after="0" w:line="257" w:lineRule="auto"/>
              <w:rPr>
                <w:rFonts w:ascii="Arial" w:hAnsi="Arial" w:cs="Arial"/>
                <w:b/>
                <w:bCs/>
                <w:color w:val="112277"/>
                <w:sz w:val="19"/>
                <w:szCs w:val="19"/>
              </w:rPr>
            </w:pPr>
            <w:r>
              <w:rPr>
                <w:rFonts w:ascii="Arial" w:hAnsi="Arial" w:cs="Arial"/>
                <w:b/>
                <w:bCs/>
                <w:color w:val="112277"/>
                <w:sz w:val="19"/>
                <w:szCs w:val="19"/>
              </w:rPr>
              <w:t>Ausl Imola</w:t>
            </w:r>
          </w:p>
        </w:tc>
        <w:tc>
          <w:tcPr>
            <w:tcW w:w="1180" w:type="dxa"/>
            <w:tcBorders>
              <w:top w:val="nil"/>
              <w:left w:val="nil"/>
              <w:bottom w:val="single" w:sz="8" w:space="0" w:color="C1C1C1"/>
              <w:right w:val="single" w:sz="8" w:space="0" w:color="C1C1C1"/>
            </w:tcBorders>
            <w:shd w:val="clear" w:color="auto" w:fill="FFFFFF"/>
            <w:noWrap/>
            <w:tcMar>
              <w:top w:w="0" w:type="dxa"/>
              <w:left w:w="70" w:type="dxa"/>
              <w:bottom w:w="0" w:type="dxa"/>
              <w:right w:w="70" w:type="dxa"/>
            </w:tcMar>
            <w:vAlign w:val="bottom"/>
            <w:hideMark/>
          </w:tcPr>
          <w:p w14:paraId="395D1933" w14:textId="77777777" w:rsidR="00E725D4" w:rsidRDefault="00E725D4" w:rsidP="00E725D4">
            <w:pPr>
              <w:spacing w:after="0" w:line="257" w:lineRule="auto"/>
              <w:jc w:val="right"/>
              <w:rPr>
                <w:rFonts w:ascii="Arial" w:hAnsi="Arial" w:cs="Arial"/>
                <w:color w:val="000000"/>
                <w:sz w:val="19"/>
                <w:szCs w:val="19"/>
              </w:rPr>
            </w:pPr>
            <w:r>
              <w:rPr>
                <w:rFonts w:ascii="Arial" w:hAnsi="Arial" w:cs="Arial"/>
                <w:color w:val="000000"/>
                <w:sz w:val="19"/>
                <w:szCs w:val="19"/>
              </w:rPr>
              <w:t xml:space="preserve">         9.337 </w:t>
            </w:r>
          </w:p>
        </w:tc>
        <w:tc>
          <w:tcPr>
            <w:tcW w:w="146" w:type="dxa"/>
            <w:tcMar>
              <w:top w:w="0" w:type="dxa"/>
              <w:left w:w="70" w:type="dxa"/>
              <w:bottom w:w="0" w:type="dxa"/>
              <w:right w:w="70" w:type="dxa"/>
            </w:tcMar>
            <w:vAlign w:val="center"/>
            <w:hideMark/>
          </w:tcPr>
          <w:p w14:paraId="439C9397" w14:textId="77777777" w:rsidR="00E725D4" w:rsidRDefault="00E725D4" w:rsidP="00E725D4">
            <w:pPr>
              <w:spacing w:after="0" w:line="257" w:lineRule="auto"/>
              <w:rPr>
                <w:rFonts w:ascii="Arial" w:hAnsi="Arial" w:cs="Arial"/>
                <w:color w:val="000000"/>
                <w:sz w:val="19"/>
                <w:szCs w:val="19"/>
              </w:rPr>
            </w:pPr>
          </w:p>
        </w:tc>
        <w:tc>
          <w:tcPr>
            <w:tcW w:w="6" w:type="dxa"/>
            <w:vAlign w:val="center"/>
            <w:hideMark/>
          </w:tcPr>
          <w:p w14:paraId="68D6EE6E" w14:textId="77777777" w:rsidR="00E725D4" w:rsidRDefault="00E725D4" w:rsidP="00E725D4">
            <w:pPr>
              <w:spacing w:after="0" w:line="257" w:lineRule="auto"/>
              <w:rPr>
                <w:sz w:val="20"/>
                <w:szCs w:val="20"/>
                <w:lang w:eastAsia="it-IT"/>
              </w:rPr>
            </w:pPr>
          </w:p>
        </w:tc>
      </w:tr>
      <w:tr w:rsidR="00E725D4" w14:paraId="55714CE3" w14:textId="77777777" w:rsidTr="00E725D4">
        <w:trPr>
          <w:trHeight w:val="282"/>
        </w:trPr>
        <w:tc>
          <w:tcPr>
            <w:tcW w:w="2280" w:type="dxa"/>
            <w:tcBorders>
              <w:top w:val="nil"/>
              <w:left w:val="single" w:sz="8" w:space="0" w:color="B0B7BB"/>
              <w:bottom w:val="single" w:sz="8" w:space="0" w:color="B0B7BB"/>
              <w:right w:val="single" w:sz="8" w:space="0" w:color="B0B7BB"/>
            </w:tcBorders>
            <w:shd w:val="clear" w:color="auto" w:fill="EDF2F9"/>
            <w:noWrap/>
            <w:tcMar>
              <w:top w:w="0" w:type="dxa"/>
              <w:left w:w="70" w:type="dxa"/>
              <w:bottom w:w="0" w:type="dxa"/>
              <w:right w:w="70" w:type="dxa"/>
            </w:tcMar>
            <w:hideMark/>
          </w:tcPr>
          <w:p w14:paraId="63BC7D0B" w14:textId="77777777" w:rsidR="00E725D4" w:rsidRDefault="00E725D4" w:rsidP="00E725D4">
            <w:pPr>
              <w:spacing w:after="0" w:line="257" w:lineRule="auto"/>
              <w:rPr>
                <w:rFonts w:ascii="Arial" w:hAnsi="Arial" w:cs="Arial"/>
                <w:b/>
                <w:bCs/>
                <w:color w:val="112277"/>
                <w:sz w:val="19"/>
                <w:szCs w:val="19"/>
              </w:rPr>
            </w:pPr>
            <w:r>
              <w:rPr>
                <w:rFonts w:ascii="Arial" w:hAnsi="Arial" w:cs="Arial"/>
                <w:b/>
                <w:bCs/>
                <w:color w:val="112277"/>
                <w:sz w:val="19"/>
                <w:szCs w:val="19"/>
              </w:rPr>
              <w:t>Ausl Ferrara</w:t>
            </w:r>
          </w:p>
        </w:tc>
        <w:tc>
          <w:tcPr>
            <w:tcW w:w="1180" w:type="dxa"/>
            <w:tcBorders>
              <w:top w:val="nil"/>
              <w:left w:val="nil"/>
              <w:bottom w:val="single" w:sz="8" w:space="0" w:color="C1C1C1"/>
              <w:right w:val="single" w:sz="8" w:space="0" w:color="C1C1C1"/>
            </w:tcBorders>
            <w:shd w:val="clear" w:color="auto" w:fill="FFFFFF"/>
            <w:noWrap/>
            <w:tcMar>
              <w:top w:w="0" w:type="dxa"/>
              <w:left w:w="70" w:type="dxa"/>
              <w:bottom w:w="0" w:type="dxa"/>
              <w:right w:w="70" w:type="dxa"/>
            </w:tcMar>
            <w:vAlign w:val="bottom"/>
            <w:hideMark/>
          </w:tcPr>
          <w:p w14:paraId="5115F68C" w14:textId="77777777" w:rsidR="00E725D4" w:rsidRDefault="00E725D4" w:rsidP="00E725D4">
            <w:pPr>
              <w:spacing w:after="0" w:line="257" w:lineRule="auto"/>
              <w:jc w:val="right"/>
              <w:rPr>
                <w:rFonts w:ascii="Arial" w:hAnsi="Arial" w:cs="Arial"/>
                <w:color w:val="000000"/>
                <w:sz w:val="19"/>
                <w:szCs w:val="19"/>
              </w:rPr>
            </w:pPr>
            <w:r>
              <w:rPr>
                <w:rFonts w:ascii="Arial" w:hAnsi="Arial" w:cs="Arial"/>
                <w:color w:val="000000"/>
                <w:sz w:val="19"/>
                <w:szCs w:val="19"/>
              </w:rPr>
              <w:t xml:space="preserve">       37.808 </w:t>
            </w:r>
          </w:p>
        </w:tc>
        <w:tc>
          <w:tcPr>
            <w:tcW w:w="146" w:type="dxa"/>
            <w:tcMar>
              <w:top w:w="0" w:type="dxa"/>
              <w:left w:w="70" w:type="dxa"/>
              <w:bottom w:w="0" w:type="dxa"/>
              <w:right w:w="70" w:type="dxa"/>
            </w:tcMar>
            <w:vAlign w:val="center"/>
            <w:hideMark/>
          </w:tcPr>
          <w:p w14:paraId="52A033BF" w14:textId="77777777" w:rsidR="00E725D4" w:rsidRDefault="00E725D4" w:rsidP="00E725D4">
            <w:pPr>
              <w:spacing w:after="0" w:line="257" w:lineRule="auto"/>
              <w:rPr>
                <w:rFonts w:ascii="Arial" w:hAnsi="Arial" w:cs="Arial"/>
                <w:color w:val="000000"/>
                <w:sz w:val="19"/>
                <w:szCs w:val="19"/>
              </w:rPr>
            </w:pPr>
          </w:p>
        </w:tc>
        <w:tc>
          <w:tcPr>
            <w:tcW w:w="6" w:type="dxa"/>
            <w:vAlign w:val="center"/>
            <w:hideMark/>
          </w:tcPr>
          <w:p w14:paraId="66EE0CE3" w14:textId="77777777" w:rsidR="00E725D4" w:rsidRDefault="00E725D4" w:rsidP="00E725D4">
            <w:pPr>
              <w:spacing w:after="0" w:line="257" w:lineRule="auto"/>
              <w:rPr>
                <w:sz w:val="20"/>
                <w:szCs w:val="20"/>
                <w:lang w:eastAsia="it-IT"/>
              </w:rPr>
            </w:pPr>
          </w:p>
        </w:tc>
      </w:tr>
      <w:tr w:rsidR="00E725D4" w14:paraId="1E5B71E8" w14:textId="77777777" w:rsidTr="00E725D4">
        <w:trPr>
          <w:trHeight w:val="282"/>
        </w:trPr>
        <w:tc>
          <w:tcPr>
            <w:tcW w:w="2280" w:type="dxa"/>
            <w:tcBorders>
              <w:top w:val="nil"/>
              <w:left w:val="single" w:sz="8" w:space="0" w:color="B0B7BB"/>
              <w:bottom w:val="single" w:sz="8" w:space="0" w:color="B0B7BB"/>
              <w:right w:val="single" w:sz="8" w:space="0" w:color="B0B7BB"/>
            </w:tcBorders>
            <w:shd w:val="clear" w:color="auto" w:fill="EDF2F9"/>
            <w:noWrap/>
            <w:tcMar>
              <w:top w:w="0" w:type="dxa"/>
              <w:left w:w="70" w:type="dxa"/>
              <w:bottom w:w="0" w:type="dxa"/>
              <w:right w:w="70" w:type="dxa"/>
            </w:tcMar>
            <w:hideMark/>
          </w:tcPr>
          <w:p w14:paraId="769F73EF" w14:textId="77777777" w:rsidR="00E725D4" w:rsidRDefault="00E725D4" w:rsidP="00E725D4">
            <w:pPr>
              <w:spacing w:after="0" w:line="257" w:lineRule="auto"/>
              <w:rPr>
                <w:rFonts w:ascii="Arial" w:hAnsi="Arial" w:cs="Arial"/>
                <w:b/>
                <w:bCs/>
                <w:color w:val="112277"/>
                <w:sz w:val="19"/>
                <w:szCs w:val="19"/>
              </w:rPr>
            </w:pPr>
            <w:r>
              <w:rPr>
                <w:rFonts w:ascii="Arial" w:hAnsi="Arial" w:cs="Arial"/>
                <w:b/>
                <w:bCs/>
                <w:color w:val="112277"/>
                <w:sz w:val="19"/>
                <w:szCs w:val="19"/>
              </w:rPr>
              <w:t>Ausl Romagna</w:t>
            </w:r>
          </w:p>
        </w:tc>
        <w:tc>
          <w:tcPr>
            <w:tcW w:w="1180" w:type="dxa"/>
            <w:tcBorders>
              <w:top w:val="nil"/>
              <w:left w:val="nil"/>
              <w:bottom w:val="single" w:sz="8" w:space="0" w:color="C1C1C1"/>
              <w:right w:val="single" w:sz="8" w:space="0" w:color="C1C1C1"/>
            </w:tcBorders>
            <w:shd w:val="clear" w:color="auto" w:fill="FFFFFF"/>
            <w:noWrap/>
            <w:tcMar>
              <w:top w:w="0" w:type="dxa"/>
              <w:left w:w="70" w:type="dxa"/>
              <w:bottom w:w="0" w:type="dxa"/>
              <w:right w:w="70" w:type="dxa"/>
            </w:tcMar>
            <w:vAlign w:val="bottom"/>
            <w:hideMark/>
          </w:tcPr>
          <w:p w14:paraId="5E2F7F00" w14:textId="77777777" w:rsidR="00E725D4" w:rsidRDefault="00E725D4" w:rsidP="00E725D4">
            <w:pPr>
              <w:spacing w:after="0" w:line="257" w:lineRule="auto"/>
              <w:jc w:val="right"/>
              <w:rPr>
                <w:rFonts w:ascii="Arial" w:hAnsi="Arial" w:cs="Arial"/>
                <w:color w:val="000000"/>
                <w:sz w:val="19"/>
                <w:szCs w:val="19"/>
              </w:rPr>
            </w:pPr>
            <w:r>
              <w:rPr>
                <w:rFonts w:ascii="Arial" w:hAnsi="Arial" w:cs="Arial"/>
                <w:color w:val="000000"/>
                <w:sz w:val="19"/>
                <w:szCs w:val="19"/>
              </w:rPr>
              <w:t xml:space="preserve">       66.411 </w:t>
            </w:r>
          </w:p>
        </w:tc>
        <w:tc>
          <w:tcPr>
            <w:tcW w:w="146" w:type="dxa"/>
            <w:tcMar>
              <w:top w:w="0" w:type="dxa"/>
              <w:left w:w="70" w:type="dxa"/>
              <w:bottom w:w="0" w:type="dxa"/>
              <w:right w:w="70" w:type="dxa"/>
            </w:tcMar>
            <w:vAlign w:val="center"/>
            <w:hideMark/>
          </w:tcPr>
          <w:p w14:paraId="5F28017C" w14:textId="77777777" w:rsidR="00E725D4" w:rsidRDefault="00E725D4" w:rsidP="00E725D4">
            <w:pPr>
              <w:spacing w:after="0" w:line="257" w:lineRule="auto"/>
              <w:rPr>
                <w:rFonts w:ascii="Arial" w:hAnsi="Arial" w:cs="Arial"/>
                <w:color w:val="000000"/>
                <w:sz w:val="19"/>
                <w:szCs w:val="19"/>
              </w:rPr>
            </w:pPr>
          </w:p>
        </w:tc>
        <w:tc>
          <w:tcPr>
            <w:tcW w:w="6" w:type="dxa"/>
            <w:vAlign w:val="center"/>
            <w:hideMark/>
          </w:tcPr>
          <w:p w14:paraId="1CCDCDC3" w14:textId="77777777" w:rsidR="00E725D4" w:rsidRDefault="00E725D4" w:rsidP="00E725D4">
            <w:pPr>
              <w:spacing w:after="0" w:line="257" w:lineRule="auto"/>
              <w:rPr>
                <w:sz w:val="20"/>
                <w:szCs w:val="20"/>
                <w:lang w:eastAsia="it-IT"/>
              </w:rPr>
            </w:pPr>
          </w:p>
        </w:tc>
      </w:tr>
      <w:tr w:rsidR="00E725D4" w14:paraId="078A2547" w14:textId="77777777" w:rsidTr="00E725D4">
        <w:trPr>
          <w:trHeight w:val="282"/>
        </w:trPr>
        <w:tc>
          <w:tcPr>
            <w:tcW w:w="2280" w:type="dxa"/>
            <w:tcBorders>
              <w:top w:val="nil"/>
              <w:left w:val="single" w:sz="8" w:space="0" w:color="B0B7BB"/>
              <w:bottom w:val="single" w:sz="8" w:space="0" w:color="B0B7BB"/>
              <w:right w:val="single" w:sz="8" w:space="0" w:color="B0B7BB"/>
            </w:tcBorders>
            <w:shd w:val="clear" w:color="auto" w:fill="EDF2F9"/>
            <w:noWrap/>
            <w:tcMar>
              <w:top w:w="0" w:type="dxa"/>
              <w:left w:w="70" w:type="dxa"/>
              <w:bottom w:w="0" w:type="dxa"/>
              <w:right w:w="70" w:type="dxa"/>
            </w:tcMar>
            <w:hideMark/>
          </w:tcPr>
          <w:p w14:paraId="352D905F" w14:textId="77777777" w:rsidR="00E725D4" w:rsidRDefault="00E725D4" w:rsidP="00E725D4">
            <w:pPr>
              <w:spacing w:after="0" w:line="257" w:lineRule="auto"/>
              <w:rPr>
                <w:rFonts w:ascii="Arial" w:hAnsi="Arial" w:cs="Arial"/>
                <w:b/>
                <w:bCs/>
                <w:color w:val="112277"/>
                <w:sz w:val="19"/>
                <w:szCs w:val="19"/>
              </w:rPr>
            </w:pPr>
            <w:r>
              <w:rPr>
                <w:rFonts w:ascii="Arial" w:hAnsi="Arial" w:cs="Arial"/>
                <w:b/>
                <w:bCs/>
                <w:color w:val="112277"/>
                <w:sz w:val="19"/>
                <w:szCs w:val="19"/>
              </w:rPr>
              <w:t>Totale</w:t>
            </w:r>
          </w:p>
        </w:tc>
        <w:tc>
          <w:tcPr>
            <w:tcW w:w="1180" w:type="dxa"/>
            <w:tcBorders>
              <w:top w:val="nil"/>
              <w:left w:val="nil"/>
              <w:bottom w:val="single" w:sz="8" w:space="0" w:color="C1C1C1"/>
              <w:right w:val="single" w:sz="8" w:space="0" w:color="C1C1C1"/>
            </w:tcBorders>
            <w:shd w:val="clear" w:color="auto" w:fill="FFFFFF"/>
            <w:noWrap/>
            <w:tcMar>
              <w:top w:w="0" w:type="dxa"/>
              <w:left w:w="70" w:type="dxa"/>
              <w:bottom w:w="0" w:type="dxa"/>
              <w:right w:w="70" w:type="dxa"/>
            </w:tcMar>
            <w:vAlign w:val="bottom"/>
            <w:hideMark/>
          </w:tcPr>
          <w:p w14:paraId="3008641B" w14:textId="77777777" w:rsidR="00E725D4" w:rsidRDefault="00E725D4" w:rsidP="00E725D4">
            <w:pPr>
              <w:spacing w:after="0" w:line="257" w:lineRule="auto"/>
              <w:rPr>
                <w:rFonts w:ascii="Arial" w:hAnsi="Arial" w:cs="Arial"/>
                <w:b/>
                <w:bCs/>
                <w:color w:val="112277"/>
                <w:sz w:val="19"/>
                <w:szCs w:val="19"/>
              </w:rPr>
            </w:pPr>
          </w:p>
        </w:tc>
        <w:tc>
          <w:tcPr>
            <w:tcW w:w="146" w:type="dxa"/>
            <w:tcMar>
              <w:top w:w="0" w:type="dxa"/>
              <w:left w:w="70" w:type="dxa"/>
              <w:bottom w:w="0" w:type="dxa"/>
              <w:right w:w="70" w:type="dxa"/>
            </w:tcMar>
            <w:vAlign w:val="center"/>
            <w:hideMark/>
          </w:tcPr>
          <w:p w14:paraId="4CF5203F" w14:textId="77777777" w:rsidR="00E725D4" w:rsidRDefault="00E725D4" w:rsidP="00E725D4">
            <w:pPr>
              <w:spacing w:after="0" w:line="257" w:lineRule="auto"/>
              <w:rPr>
                <w:sz w:val="20"/>
                <w:szCs w:val="20"/>
                <w:lang w:eastAsia="it-IT"/>
              </w:rPr>
            </w:pPr>
          </w:p>
        </w:tc>
        <w:tc>
          <w:tcPr>
            <w:tcW w:w="6" w:type="dxa"/>
            <w:vAlign w:val="center"/>
            <w:hideMark/>
          </w:tcPr>
          <w:p w14:paraId="72E2F2D1" w14:textId="77777777" w:rsidR="00E725D4" w:rsidRDefault="00E725D4" w:rsidP="00E725D4">
            <w:pPr>
              <w:spacing w:after="0" w:line="257" w:lineRule="auto"/>
              <w:rPr>
                <w:sz w:val="20"/>
                <w:szCs w:val="20"/>
                <w:lang w:eastAsia="it-IT"/>
              </w:rPr>
            </w:pPr>
          </w:p>
        </w:tc>
      </w:tr>
    </w:tbl>
    <w:p w14:paraId="59C4D741" w14:textId="77777777" w:rsidR="00E725D4" w:rsidRDefault="00E725D4" w:rsidP="00E725D4">
      <w:pPr>
        <w:spacing w:after="0" w:line="257" w:lineRule="auto"/>
        <w:rPr>
          <w:sz w:val="24"/>
          <w:szCs w:val="24"/>
        </w:rPr>
      </w:pPr>
    </w:p>
    <w:p w14:paraId="6F82B6DF" w14:textId="77777777" w:rsidR="00E725D4" w:rsidRDefault="00E725D4" w:rsidP="00E725D4">
      <w:pPr>
        <w:spacing w:after="0" w:line="257" w:lineRule="auto"/>
        <w:rPr>
          <w:b/>
          <w:bCs/>
        </w:rPr>
      </w:pPr>
      <w:r>
        <w:rPr>
          <w:sz w:val="24"/>
          <w:szCs w:val="24"/>
        </w:rPr>
        <w:t xml:space="preserve">In data 19/10/2020 è stato richiesto il 20% d’obbligo della gara, pari a 232.800 dosi. </w:t>
      </w:r>
    </w:p>
    <w:p w14:paraId="04AE7630" w14:textId="77777777" w:rsidR="00E725D4" w:rsidRDefault="00E725D4" w:rsidP="00E725D4">
      <w:pPr>
        <w:spacing w:after="0" w:line="257" w:lineRule="auto"/>
        <w:jc w:val="both"/>
        <w:rPr>
          <w:b/>
          <w:bCs/>
          <w:sz w:val="24"/>
          <w:szCs w:val="24"/>
        </w:rPr>
      </w:pPr>
      <w:r>
        <w:rPr>
          <w:sz w:val="24"/>
          <w:szCs w:val="24"/>
        </w:rPr>
        <w:t>Sono inoltre state acquisite 10.000 dosi di vaccini utilizzabile dai 2 anni in avanti ed è stata ordinata una ulteriore quantità di 12.000.</w:t>
      </w:r>
    </w:p>
    <w:p w14:paraId="33F8B594" w14:textId="77777777" w:rsidR="00E725D4" w:rsidRDefault="00E725D4" w:rsidP="00E725D4">
      <w:pPr>
        <w:spacing w:after="0" w:line="257" w:lineRule="auto"/>
        <w:jc w:val="both"/>
        <w:rPr>
          <w:sz w:val="24"/>
          <w:szCs w:val="24"/>
        </w:rPr>
      </w:pPr>
      <w:r>
        <w:rPr>
          <w:sz w:val="24"/>
          <w:szCs w:val="24"/>
        </w:rPr>
        <w:t xml:space="preserve">Tenuto conto dell’utilizzo rilevante, sono state avviate con AIFA le procedure per </w:t>
      </w:r>
      <w:r>
        <w:rPr>
          <w:rFonts w:eastAsia="Times New Roman"/>
          <w:sz w:val="24"/>
          <w:szCs w:val="24"/>
        </w:rPr>
        <w:t>importare dall’estero vaccino utilizzabile in tutte le fasce di età utilizzando vie autorizzative dedicate in accordo con AIFA</w:t>
      </w:r>
      <w:r>
        <w:rPr>
          <w:sz w:val="24"/>
          <w:szCs w:val="24"/>
        </w:rPr>
        <w:t xml:space="preserve"> stessa.</w:t>
      </w:r>
    </w:p>
    <w:p w14:paraId="23676020" w14:textId="77777777" w:rsidR="00E725D4" w:rsidRDefault="00E725D4" w:rsidP="00E725D4">
      <w:pPr>
        <w:spacing w:after="0" w:line="257" w:lineRule="auto"/>
        <w:rPr>
          <w:rFonts w:ascii="Calibri" w:eastAsia="Times New Roman" w:hAnsi="Calibri" w:cs="Calibri"/>
          <w:b/>
          <w:bCs/>
          <w:color w:val="201F1E"/>
          <w:sz w:val="24"/>
          <w:szCs w:val="24"/>
          <w:u w:val="single"/>
          <w:lang w:eastAsia="it-IT"/>
        </w:rPr>
      </w:pPr>
    </w:p>
    <w:p w14:paraId="7AB37A7B" w14:textId="50352F60" w:rsidR="00E725D4" w:rsidRPr="00E725D4" w:rsidRDefault="00E725D4" w:rsidP="00E725D4">
      <w:pPr>
        <w:rPr>
          <w:u w:val="single"/>
        </w:rPr>
      </w:pPr>
      <w:r>
        <w:rPr>
          <w:rFonts w:ascii="Calibri" w:eastAsia="Times New Roman" w:hAnsi="Calibri" w:cs="Calibri"/>
          <w:b/>
          <w:bCs/>
          <w:color w:val="201F1E"/>
          <w:sz w:val="24"/>
          <w:szCs w:val="24"/>
          <w:u w:val="single"/>
          <w:lang w:eastAsia="it-IT"/>
        </w:rPr>
        <w:t>19</w:t>
      </w:r>
      <w:r w:rsidRPr="00E725D4">
        <w:rPr>
          <w:rFonts w:ascii="Calibri" w:eastAsia="Times New Roman" w:hAnsi="Calibri" w:cs="Calibri"/>
          <w:b/>
          <w:bCs/>
          <w:color w:val="201F1E"/>
          <w:sz w:val="24"/>
          <w:szCs w:val="24"/>
          <w:u w:val="single"/>
          <w:lang w:eastAsia="it-IT"/>
        </w:rPr>
        <w:t xml:space="preserve"> novembre</w:t>
      </w:r>
    </w:p>
    <w:p w14:paraId="629948AC" w14:textId="77777777" w:rsidR="00E725D4" w:rsidRDefault="00E725D4" w:rsidP="00E725D4">
      <w:pPr>
        <w:pStyle w:val="p1"/>
        <w:spacing w:before="0" w:beforeAutospacing="0" w:after="0" w:afterAutospacing="0"/>
        <w:jc w:val="both"/>
        <w:rPr>
          <w:rFonts w:asciiTheme="minorHAnsi" w:hAnsiTheme="minorHAnsi" w:cstheme="minorHAnsi"/>
          <w:b/>
          <w:i/>
          <w:color w:val="201F1E"/>
          <w:sz w:val="24"/>
          <w:szCs w:val="24"/>
          <w:shd w:val="clear" w:color="auto" w:fill="FFFFFF"/>
          <w:lang w:eastAsia="en-US"/>
        </w:rPr>
      </w:pPr>
      <w:r>
        <w:rPr>
          <w:rFonts w:asciiTheme="minorHAnsi" w:hAnsiTheme="minorHAnsi" w:cstheme="minorHAnsi"/>
          <w:b/>
          <w:i/>
          <w:color w:val="201F1E"/>
          <w:sz w:val="24"/>
          <w:szCs w:val="24"/>
          <w:shd w:val="clear" w:color="auto" w:fill="FFFFFF"/>
          <w:lang w:eastAsia="en-US"/>
        </w:rPr>
        <w:t xml:space="preserve">Nell’articolo pubblicato qualche gg fa sul Carlino nazionale (che allego) il giornalista Alessandro Farruggia descrive un quadro preoccupante relativo ai nuovi assunti nelle strutture sanitarie del servizio pubblico nazionale (circa 36.000, di cui 4.116 medici assunti a tempo indeterminato dalle Asl), evidenziando che solo la metà circa è destinato a reparti </w:t>
      </w:r>
      <w:proofErr w:type="spellStart"/>
      <w:r>
        <w:rPr>
          <w:rFonts w:asciiTheme="minorHAnsi" w:hAnsiTheme="minorHAnsi" w:cstheme="minorHAnsi"/>
          <w:b/>
          <w:i/>
          <w:color w:val="201F1E"/>
          <w:sz w:val="24"/>
          <w:szCs w:val="24"/>
          <w:shd w:val="clear" w:color="auto" w:fill="FFFFFF"/>
          <w:lang w:eastAsia="en-US"/>
        </w:rPr>
        <w:t>Covid</w:t>
      </w:r>
      <w:proofErr w:type="spellEnd"/>
      <w:r>
        <w:rPr>
          <w:rFonts w:asciiTheme="minorHAnsi" w:hAnsiTheme="minorHAnsi" w:cstheme="minorHAnsi"/>
          <w:b/>
          <w:i/>
          <w:color w:val="201F1E"/>
          <w:sz w:val="24"/>
          <w:szCs w:val="24"/>
          <w:shd w:val="clear" w:color="auto" w:fill="FFFFFF"/>
          <w:lang w:eastAsia="en-US"/>
        </w:rPr>
        <w:t xml:space="preserve">. Per quanto riguarda la nostra Regione, il personale assunto in Emilia-Romagna con bando con specifico riferimento all'emergenza </w:t>
      </w:r>
      <w:proofErr w:type="spellStart"/>
      <w:r>
        <w:rPr>
          <w:rFonts w:asciiTheme="minorHAnsi" w:hAnsiTheme="minorHAnsi" w:cstheme="minorHAnsi"/>
          <w:b/>
          <w:i/>
          <w:color w:val="201F1E"/>
          <w:sz w:val="24"/>
          <w:szCs w:val="24"/>
          <w:shd w:val="clear" w:color="auto" w:fill="FFFFFF"/>
          <w:lang w:eastAsia="en-US"/>
        </w:rPr>
        <w:t>Covid</w:t>
      </w:r>
      <w:proofErr w:type="spellEnd"/>
      <w:r>
        <w:rPr>
          <w:rFonts w:asciiTheme="minorHAnsi" w:hAnsiTheme="minorHAnsi" w:cstheme="minorHAnsi"/>
          <w:b/>
          <w:i/>
          <w:color w:val="201F1E"/>
          <w:sz w:val="24"/>
          <w:szCs w:val="24"/>
          <w:shd w:val="clear" w:color="auto" w:fill="FFFFFF"/>
          <w:lang w:eastAsia="en-US"/>
        </w:rPr>
        <w:t xml:space="preserve"> risulta essere pari a zero su 76 assunti complessivi. Chiedo se le notizie riportate nell'articolo corrispondano al vero e se la Giunta intenda assumere iniziative per incrementare il personale dedicato alla cura dei pazienti </w:t>
      </w:r>
      <w:proofErr w:type="spellStart"/>
      <w:r>
        <w:rPr>
          <w:rFonts w:asciiTheme="minorHAnsi" w:hAnsiTheme="minorHAnsi" w:cstheme="minorHAnsi"/>
          <w:b/>
          <w:i/>
          <w:color w:val="201F1E"/>
          <w:sz w:val="24"/>
          <w:szCs w:val="24"/>
          <w:shd w:val="clear" w:color="auto" w:fill="FFFFFF"/>
          <w:lang w:eastAsia="en-US"/>
        </w:rPr>
        <w:t>Covid</w:t>
      </w:r>
      <w:proofErr w:type="spellEnd"/>
      <w:r>
        <w:rPr>
          <w:rFonts w:asciiTheme="minorHAnsi" w:hAnsiTheme="minorHAnsi" w:cstheme="minorHAnsi"/>
          <w:b/>
          <w:i/>
          <w:color w:val="201F1E"/>
          <w:sz w:val="24"/>
          <w:szCs w:val="24"/>
          <w:shd w:val="clear" w:color="auto" w:fill="FFFFFF"/>
          <w:lang w:eastAsia="en-US"/>
        </w:rPr>
        <w:t xml:space="preserve"> al fine di fronteggiare meglio la grave situazione dei pronto soccorso e degli ospedali della Regione.</w:t>
      </w:r>
      <w:r>
        <w:rPr>
          <w:rFonts w:asciiTheme="minorHAnsi" w:hAnsiTheme="minorHAnsi" w:cstheme="minorHAnsi"/>
          <w:bCs/>
          <w:i/>
          <w:color w:val="201F1E"/>
          <w:sz w:val="24"/>
          <w:szCs w:val="24"/>
          <w:shd w:val="clear" w:color="auto" w:fill="FFFFFF"/>
          <w:lang w:eastAsia="en-US"/>
        </w:rPr>
        <w:t xml:space="preserve"> </w:t>
      </w:r>
    </w:p>
    <w:p w14:paraId="2D85DD01" w14:textId="77777777" w:rsidR="00E725D4" w:rsidRDefault="00E725D4" w:rsidP="00E725D4">
      <w:pPr>
        <w:pStyle w:val="p1"/>
        <w:spacing w:before="0" w:beforeAutospacing="0" w:after="0" w:afterAutospacing="0"/>
        <w:jc w:val="both"/>
        <w:rPr>
          <w:rFonts w:asciiTheme="minorHAnsi" w:hAnsiTheme="minorHAnsi" w:cstheme="minorBidi"/>
          <w:sz w:val="24"/>
          <w:szCs w:val="24"/>
          <w:lang w:eastAsia="en-US"/>
        </w:rPr>
      </w:pPr>
    </w:p>
    <w:p w14:paraId="037C4622" w14:textId="77777777" w:rsidR="00E725D4" w:rsidRDefault="00E725D4" w:rsidP="00E725D4">
      <w:pPr>
        <w:pStyle w:val="p1"/>
        <w:spacing w:before="0" w:beforeAutospacing="0" w:after="0" w:afterAutospacing="0" w:line="256" w:lineRule="auto"/>
        <w:jc w:val="both"/>
        <w:rPr>
          <w:rFonts w:asciiTheme="minorHAnsi" w:hAnsiTheme="minorHAnsi" w:cstheme="minorBidi"/>
          <w:sz w:val="24"/>
          <w:szCs w:val="24"/>
          <w:lang w:eastAsia="en-US"/>
        </w:rPr>
      </w:pPr>
      <w:r>
        <w:rPr>
          <w:rFonts w:asciiTheme="minorHAnsi" w:hAnsiTheme="minorHAnsi" w:cstheme="minorBidi"/>
          <w:sz w:val="24"/>
          <w:szCs w:val="24"/>
          <w:lang w:eastAsia="en-US"/>
        </w:rPr>
        <w:t xml:space="preserve">L’articolo citato fa riferimento presumibilmente ad una ricerca effettuata in automatico sul “titolo” dei bandi di concorso pubblicati nelle varie Regioni per assunzione di personale nel periodo successivo all’inizio della pandemia. Nella nostra Regione nessun bando per assunzioni a tempo indeterminato ha previsto dizioni legate a COVID poiché tale specifica poteva solo indurre a </w:t>
      </w:r>
      <w:r>
        <w:rPr>
          <w:rFonts w:asciiTheme="minorHAnsi" w:hAnsiTheme="minorHAnsi" w:cstheme="minorBidi"/>
          <w:sz w:val="24"/>
          <w:szCs w:val="24"/>
          <w:lang w:eastAsia="en-US"/>
        </w:rPr>
        <w:lastRenderedPageBreak/>
        <w:t xml:space="preserve">potenziali problematiche di tipo amministrativo e rendere scarsamente utilizzabili le graduatorie o, ancor peggio in relazione ad oneri e difficoltà concorsuali, obbligare ad effettuare distinte procedure. Si tratta in buona sostanza, a parere della DG Direzione generale cura della persona, salute e welfare, di un esercizio accademico totalmente sganciato dalla realtà e che porta a risultati poco verosimili. </w:t>
      </w:r>
    </w:p>
    <w:p w14:paraId="519B46DD" w14:textId="77777777" w:rsidR="00E725D4" w:rsidRDefault="00E725D4" w:rsidP="00E725D4">
      <w:pPr>
        <w:pStyle w:val="p1"/>
        <w:spacing w:before="0" w:beforeAutospacing="0" w:after="0" w:afterAutospacing="0" w:line="256" w:lineRule="auto"/>
        <w:jc w:val="both"/>
        <w:rPr>
          <w:rFonts w:asciiTheme="minorHAnsi" w:hAnsiTheme="minorHAnsi" w:cstheme="minorBidi"/>
          <w:sz w:val="24"/>
          <w:szCs w:val="24"/>
          <w:lang w:eastAsia="en-US"/>
        </w:rPr>
      </w:pPr>
      <w:r>
        <w:rPr>
          <w:rFonts w:asciiTheme="minorHAnsi" w:hAnsiTheme="minorHAnsi" w:cstheme="minorBidi"/>
          <w:sz w:val="24"/>
          <w:szCs w:val="24"/>
          <w:lang w:eastAsia="en-US"/>
        </w:rPr>
        <w:t xml:space="preserve">Ciò che resta fermo è il numero delle assunzioni effettuate in Regione da marzo al 12 novembre, anche da graduatorie già esistenti evidentemente, ammonta a 5.915 figure, 966 medici, 3.153 infermieri, 1.255 operatori </w:t>
      </w:r>
      <w:proofErr w:type="gramStart"/>
      <w:r>
        <w:rPr>
          <w:rFonts w:asciiTheme="minorHAnsi" w:hAnsiTheme="minorHAnsi" w:cstheme="minorBidi"/>
          <w:sz w:val="24"/>
          <w:szCs w:val="24"/>
          <w:lang w:eastAsia="en-US"/>
        </w:rPr>
        <w:t>socio-sanitari</w:t>
      </w:r>
      <w:proofErr w:type="gramEnd"/>
      <w:r>
        <w:rPr>
          <w:rFonts w:asciiTheme="minorHAnsi" w:hAnsiTheme="minorHAnsi" w:cstheme="minorBidi"/>
          <w:sz w:val="24"/>
          <w:szCs w:val="24"/>
          <w:lang w:eastAsia="en-US"/>
        </w:rPr>
        <w:t>, 541 altre figure. Sostenere che con 2.693 ricoverati per COVID al momento tali operatori aggiuntivi non siano dedicati alla loro assistenza appare decisamente poco credibile.</w:t>
      </w:r>
    </w:p>
    <w:p w14:paraId="4CFA752F" w14:textId="77777777" w:rsidR="00E725D4" w:rsidRDefault="00E725D4" w:rsidP="00E725D4">
      <w:pPr>
        <w:pStyle w:val="p1"/>
        <w:spacing w:before="0" w:beforeAutospacing="0" w:after="0" w:afterAutospacing="0" w:line="256" w:lineRule="auto"/>
        <w:jc w:val="both"/>
        <w:rPr>
          <w:rFonts w:asciiTheme="minorHAnsi" w:hAnsiTheme="minorHAnsi" w:cstheme="minorBidi"/>
          <w:sz w:val="24"/>
          <w:szCs w:val="24"/>
          <w:lang w:eastAsia="en-US"/>
        </w:rPr>
      </w:pPr>
      <w:proofErr w:type="gramStart"/>
      <w:r>
        <w:rPr>
          <w:rFonts w:asciiTheme="minorHAnsi" w:hAnsiTheme="minorHAnsi" w:cstheme="minorBidi"/>
          <w:sz w:val="24"/>
          <w:szCs w:val="24"/>
          <w:lang w:eastAsia="en-US"/>
        </w:rPr>
        <w:t>E’</w:t>
      </w:r>
      <w:proofErr w:type="gramEnd"/>
      <w:r>
        <w:rPr>
          <w:rFonts w:asciiTheme="minorHAnsi" w:hAnsiTheme="minorHAnsi" w:cstheme="minorBidi"/>
          <w:sz w:val="24"/>
          <w:szCs w:val="24"/>
          <w:lang w:eastAsia="en-US"/>
        </w:rPr>
        <w:t xml:space="preserve"> vero, invece, che sia relativamente alle figure mediche, in particolare per alcune specialità, e a quelle infermieristiche vi siano difficoltà al loro reperimento sul mercato del lavoro. </w:t>
      </w:r>
    </w:p>
    <w:p w14:paraId="3F6E714D" w14:textId="77777777" w:rsidR="00E725D4" w:rsidRDefault="00E725D4" w:rsidP="00E725D4">
      <w:pPr>
        <w:pStyle w:val="p1"/>
        <w:spacing w:before="0" w:beforeAutospacing="0" w:after="0" w:afterAutospacing="0"/>
        <w:jc w:val="both"/>
        <w:rPr>
          <w:rFonts w:asciiTheme="minorHAnsi" w:hAnsiTheme="minorHAnsi" w:cstheme="minorHAnsi"/>
          <w:b/>
          <w:i/>
          <w:color w:val="201F1E"/>
          <w:sz w:val="24"/>
          <w:szCs w:val="24"/>
          <w:shd w:val="clear" w:color="auto" w:fill="FFFFFF"/>
          <w:lang w:eastAsia="en-US"/>
        </w:rPr>
      </w:pPr>
    </w:p>
    <w:p w14:paraId="0AFD8007" w14:textId="77777777" w:rsidR="00E725D4" w:rsidRPr="00E725D4" w:rsidRDefault="00E725D4" w:rsidP="00E725D4">
      <w:pPr>
        <w:spacing w:line="256" w:lineRule="auto"/>
        <w:rPr>
          <w:rFonts w:cstheme="minorHAnsi"/>
          <w:b/>
          <w:i/>
          <w:color w:val="201F1E"/>
          <w:sz w:val="24"/>
          <w:szCs w:val="24"/>
          <w:shd w:val="clear" w:color="auto" w:fill="FFFFFF"/>
        </w:rPr>
      </w:pPr>
      <w:r w:rsidRPr="00E725D4">
        <w:rPr>
          <w:rFonts w:cstheme="minorHAnsi"/>
          <w:b/>
          <w:i/>
          <w:color w:val="201F1E"/>
          <w:sz w:val="24"/>
          <w:szCs w:val="24"/>
          <w:shd w:val="clear" w:color="auto" w:fill="FFFFFF"/>
        </w:rPr>
        <w:t xml:space="preserve">Si può avere il numero per Asl provinciale delle Unità Mobili di assistenza medica domiciliare che oggi sono impiegate per diagnosi e cura </w:t>
      </w:r>
      <w:proofErr w:type="spellStart"/>
      <w:r w:rsidRPr="00E725D4">
        <w:rPr>
          <w:rFonts w:cstheme="minorHAnsi"/>
          <w:b/>
          <w:i/>
          <w:color w:val="201F1E"/>
          <w:sz w:val="24"/>
          <w:szCs w:val="24"/>
          <w:shd w:val="clear" w:color="auto" w:fill="FFFFFF"/>
        </w:rPr>
        <w:t>Covid</w:t>
      </w:r>
      <w:proofErr w:type="spellEnd"/>
      <w:r w:rsidRPr="00E725D4">
        <w:rPr>
          <w:rFonts w:cstheme="minorHAnsi"/>
          <w:b/>
          <w:i/>
          <w:color w:val="201F1E"/>
          <w:sz w:val="24"/>
          <w:szCs w:val="24"/>
          <w:shd w:val="clear" w:color="auto" w:fill="FFFFFF"/>
        </w:rPr>
        <w:t xml:space="preserve">? </w:t>
      </w:r>
    </w:p>
    <w:p w14:paraId="3A2532FB" w14:textId="77777777" w:rsidR="00E725D4" w:rsidRDefault="00E725D4" w:rsidP="00E725D4">
      <w:pPr>
        <w:rPr>
          <w:sz w:val="24"/>
          <w:szCs w:val="24"/>
        </w:rPr>
      </w:pPr>
      <w:r>
        <w:rPr>
          <w:sz w:val="24"/>
          <w:szCs w:val="24"/>
        </w:rPr>
        <w:t>Di seguito si riporta il numero di USCA e di operatori attivi al 2 novembre 2020 segnalando che le Aziende nelle ultime due settimane stanno incrementando le dotazioni.</w:t>
      </w:r>
    </w:p>
    <w:tbl>
      <w:tblPr>
        <w:tblW w:w="5660" w:type="dxa"/>
        <w:tblCellMar>
          <w:left w:w="70" w:type="dxa"/>
          <w:right w:w="70" w:type="dxa"/>
        </w:tblCellMar>
        <w:tblLook w:val="04A0" w:firstRow="1" w:lastRow="0" w:firstColumn="1" w:lastColumn="0" w:noHBand="0" w:noVBand="1"/>
      </w:tblPr>
      <w:tblGrid>
        <w:gridCol w:w="1640"/>
        <w:gridCol w:w="1500"/>
        <w:gridCol w:w="960"/>
        <w:gridCol w:w="1560"/>
      </w:tblGrid>
      <w:tr w:rsidR="00E725D4" w14:paraId="1FC06BEA" w14:textId="77777777" w:rsidTr="00E725D4">
        <w:trPr>
          <w:trHeight w:val="290"/>
        </w:trPr>
        <w:tc>
          <w:tcPr>
            <w:tcW w:w="1640" w:type="dxa"/>
            <w:tcBorders>
              <w:top w:val="single" w:sz="4" w:space="0" w:color="auto"/>
              <w:left w:val="single" w:sz="4" w:space="0" w:color="auto"/>
              <w:bottom w:val="single" w:sz="4" w:space="0" w:color="auto"/>
              <w:right w:val="single" w:sz="4" w:space="0" w:color="auto"/>
            </w:tcBorders>
            <w:noWrap/>
            <w:vAlign w:val="bottom"/>
            <w:hideMark/>
          </w:tcPr>
          <w:p w14:paraId="4021A7FE" w14:textId="77777777" w:rsidR="00E725D4" w:rsidRDefault="00E725D4">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w:t>
            </w:r>
          </w:p>
        </w:tc>
        <w:tc>
          <w:tcPr>
            <w:tcW w:w="1500" w:type="dxa"/>
            <w:tcBorders>
              <w:top w:val="single" w:sz="4" w:space="0" w:color="auto"/>
              <w:left w:val="nil"/>
              <w:bottom w:val="single" w:sz="4" w:space="0" w:color="auto"/>
              <w:right w:val="single" w:sz="4" w:space="0" w:color="auto"/>
            </w:tcBorders>
            <w:noWrap/>
            <w:vAlign w:val="bottom"/>
            <w:hideMark/>
          </w:tcPr>
          <w:p w14:paraId="663688D2" w14:textId="77777777" w:rsidR="00E725D4" w:rsidRDefault="00E725D4">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Numero USCA</w:t>
            </w:r>
          </w:p>
        </w:tc>
        <w:tc>
          <w:tcPr>
            <w:tcW w:w="960" w:type="dxa"/>
            <w:tcBorders>
              <w:top w:val="single" w:sz="4" w:space="0" w:color="auto"/>
              <w:left w:val="nil"/>
              <w:bottom w:val="single" w:sz="4" w:space="0" w:color="auto"/>
              <w:right w:val="single" w:sz="4" w:space="0" w:color="auto"/>
            </w:tcBorders>
            <w:noWrap/>
            <w:vAlign w:val="bottom"/>
            <w:hideMark/>
          </w:tcPr>
          <w:p w14:paraId="552BE06A" w14:textId="77777777" w:rsidR="00E725D4" w:rsidRDefault="00E725D4">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Medici</w:t>
            </w:r>
          </w:p>
        </w:tc>
        <w:tc>
          <w:tcPr>
            <w:tcW w:w="1560" w:type="dxa"/>
            <w:tcBorders>
              <w:top w:val="single" w:sz="4" w:space="0" w:color="auto"/>
              <w:left w:val="nil"/>
              <w:bottom w:val="single" w:sz="4" w:space="0" w:color="auto"/>
              <w:right w:val="single" w:sz="4" w:space="0" w:color="auto"/>
            </w:tcBorders>
            <w:noWrap/>
            <w:vAlign w:val="bottom"/>
            <w:hideMark/>
          </w:tcPr>
          <w:p w14:paraId="0F4D3394" w14:textId="77777777" w:rsidR="00E725D4" w:rsidRDefault="00E725D4">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Altri operatori</w:t>
            </w:r>
          </w:p>
        </w:tc>
      </w:tr>
      <w:tr w:rsidR="00E725D4" w14:paraId="02C0CCD3" w14:textId="77777777" w:rsidTr="00E725D4">
        <w:trPr>
          <w:trHeight w:val="290"/>
        </w:trPr>
        <w:tc>
          <w:tcPr>
            <w:tcW w:w="1640" w:type="dxa"/>
            <w:tcBorders>
              <w:top w:val="nil"/>
              <w:left w:val="single" w:sz="4" w:space="0" w:color="auto"/>
              <w:bottom w:val="single" w:sz="4" w:space="0" w:color="auto"/>
              <w:right w:val="single" w:sz="4" w:space="0" w:color="auto"/>
            </w:tcBorders>
            <w:noWrap/>
            <w:vAlign w:val="bottom"/>
            <w:hideMark/>
          </w:tcPr>
          <w:p w14:paraId="33F8BDDC" w14:textId="77777777" w:rsidR="00E725D4" w:rsidRDefault="00E725D4">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Piacenza</w:t>
            </w:r>
          </w:p>
        </w:tc>
        <w:tc>
          <w:tcPr>
            <w:tcW w:w="1500" w:type="dxa"/>
            <w:tcBorders>
              <w:top w:val="nil"/>
              <w:left w:val="nil"/>
              <w:bottom w:val="single" w:sz="4" w:space="0" w:color="auto"/>
              <w:right w:val="single" w:sz="4" w:space="0" w:color="auto"/>
            </w:tcBorders>
            <w:noWrap/>
            <w:vAlign w:val="bottom"/>
            <w:hideMark/>
          </w:tcPr>
          <w:p w14:paraId="68987032"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6</w:t>
            </w:r>
          </w:p>
        </w:tc>
        <w:tc>
          <w:tcPr>
            <w:tcW w:w="960" w:type="dxa"/>
            <w:tcBorders>
              <w:top w:val="nil"/>
              <w:left w:val="nil"/>
              <w:bottom w:val="single" w:sz="4" w:space="0" w:color="auto"/>
              <w:right w:val="single" w:sz="4" w:space="0" w:color="auto"/>
            </w:tcBorders>
            <w:noWrap/>
            <w:vAlign w:val="bottom"/>
            <w:hideMark/>
          </w:tcPr>
          <w:p w14:paraId="3B150EBF"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18</w:t>
            </w:r>
          </w:p>
        </w:tc>
        <w:tc>
          <w:tcPr>
            <w:tcW w:w="1560" w:type="dxa"/>
            <w:tcBorders>
              <w:top w:val="nil"/>
              <w:left w:val="nil"/>
              <w:bottom w:val="single" w:sz="4" w:space="0" w:color="auto"/>
              <w:right w:val="single" w:sz="4" w:space="0" w:color="auto"/>
            </w:tcBorders>
            <w:noWrap/>
            <w:vAlign w:val="bottom"/>
            <w:hideMark/>
          </w:tcPr>
          <w:p w14:paraId="31E39466"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w:t>
            </w:r>
          </w:p>
        </w:tc>
      </w:tr>
      <w:tr w:rsidR="00E725D4" w14:paraId="7B95EBFF" w14:textId="77777777" w:rsidTr="00E725D4">
        <w:trPr>
          <w:trHeight w:val="290"/>
        </w:trPr>
        <w:tc>
          <w:tcPr>
            <w:tcW w:w="1640" w:type="dxa"/>
            <w:tcBorders>
              <w:top w:val="nil"/>
              <w:left w:val="single" w:sz="4" w:space="0" w:color="auto"/>
              <w:bottom w:val="single" w:sz="4" w:space="0" w:color="auto"/>
              <w:right w:val="single" w:sz="4" w:space="0" w:color="auto"/>
            </w:tcBorders>
            <w:noWrap/>
            <w:vAlign w:val="bottom"/>
            <w:hideMark/>
          </w:tcPr>
          <w:p w14:paraId="397E5DDF" w14:textId="77777777" w:rsidR="00E725D4" w:rsidRDefault="00E725D4">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Parma</w:t>
            </w:r>
          </w:p>
        </w:tc>
        <w:tc>
          <w:tcPr>
            <w:tcW w:w="1500" w:type="dxa"/>
            <w:tcBorders>
              <w:top w:val="nil"/>
              <w:left w:val="nil"/>
              <w:bottom w:val="single" w:sz="4" w:space="0" w:color="auto"/>
              <w:right w:val="single" w:sz="4" w:space="0" w:color="auto"/>
            </w:tcBorders>
            <w:noWrap/>
            <w:vAlign w:val="bottom"/>
            <w:hideMark/>
          </w:tcPr>
          <w:p w14:paraId="3FE3F5BA"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4</w:t>
            </w:r>
          </w:p>
        </w:tc>
        <w:tc>
          <w:tcPr>
            <w:tcW w:w="960" w:type="dxa"/>
            <w:tcBorders>
              <w:top w:val="nil"/>
              <w:left w:val="nil"/>
              <w:bottom w:val="single" w:sz="4" w:space="0" w:color="auto"/>
              <w:right w:val="single" w:sz="4" w:space="0" w:color="auto"/>
            </w:tcBorders>
            <w:noWrap/>
            <w:vAlign w:val="bottom"/>
            <w:hideMark/>
          </w:tcPr>
          <w:p w14:paraId="2756B684"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18</w:t>
            </w:r>
          </w:p>
        </w:tc>
        <w:tc>
          <w:tcPr>
            <w:tcW w:w="1560" w:type="dxa"/>
            <w:tcBorders>
              <w:top w:val="nil"/>
              <w:left w:val="nil"/>
              <w:bottom w:val="single" w:sz="4" w:space="0" w:color="auto"/>
              <w:right w:val="single" w:sz="4" w:space="0" w:color="auto"/>
            </w:tcBorders>
            <w:noWrap/>
            <w:vAlign w:val="bottom"/>
            <w:hideMark/>
          </w:tcPr>
          <w:p w14:paraId="44A4A68B"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0</w:t>
            </w:r>
          </w:p>
        </w:tc>
      </w:tr>
      <w:tr w:rsidR="00E725D4" w14:paraId="1DE4BF05" w14:textId="77777777" w:rsidTr="00E725D4">
        <w:trPr>
          <w:trHeight w:val="290"/>
        </w:trPr>
        <w:tc>
          <w:tcPr>
            <w:tcW w:w="1640" w:type="dxa"/>
            <w:tcBorders>
              <w:top w:val="nil"/>
              <w:left w:val="single" w:sz="4" w:space="0" w:color="auto"/>
              <w:bottom w:val="single" w:sz="4" w:space="0" w:color="auto"/>
              <w:right w:val="single" w:sz="4" w:space="0" w:color="auto"/>
            </w:tcBorders>
            <w:noWrap/>
            <w:vAlign w:val="bottom"/>
            <w:hideMark/>
          </w:tcPr>
          <w:p w14:paraId="418B9D1B" w14:textId="77777777" w:rsidR="00E725D4" w:rsidRDefault="00E725D4">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Reggio Emilia</w:t>
            </w:r>
          </w:p>
        </w:tc>
        <w:tc>
          <w:tcPr>
            <w:tcW w:w="1500" w:type="dxa"/>
            <w:tcBorders>
              <w:top w:val="nil"/>
              <w:left w:val="nil"/>
              <w:bottom w:val="single" w:sz="4" w:space="0" w:color="auto"/>
              <w:right w:val="single" w:sz="4" w:space="0" w:color="auto"/>
            </w:tcBorders>
            <w:noWrap/>
            <w:vAlign w:val="bottom"/>
            <w:hideMark/>
          </w:tcPr>
          <w:p w14:paraId="2416FE3C"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12</w:t>
            </w:r>
          </w:p>
        </w:tc>
        <w:tc>
          <w:tcPr>
            <w:tcW w:w="960" w:type="dxa"/>
            <w:tcBorders>
              <w:top w:val="nil"/>
              <w:left w:val="nil"/>
              <w:bottom w:val="single" w:sz="4" w:space="0" w:color="auto"/>
              <w:right w:val="single" w:sz="4" w:space="0" w:color="auto"/>
            </w:tcBorders>
            <w:noWrap/>
            <w:vAlign w:val="bottom"/>
            <w:hideMark/>
          </w:tcPr>
          <w:p w14:paraId="21240D14"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44</w:t>
            </w:r>
          </w:p>
        </w:tc>
        <w:tc>
          <w:tcPr>
            <w:tcW w:w="1560" w:type="dxa"/>
            <w:tcBorders>
              <w:top w:val="nil"/>
              <w:left w:val="nil"/>
              <w:bottom w:val="single" w:sz="4" w:space="0" w:color="auto"/>
              <w:right w:val="single" w:sz="4" w:space="0" w:color="auto"/>
            </w:tcBorders>
            <w:noWrap/>
            <w:vAlign w:val="bottom"/>
            <w:hideMark/>
          </w:tcPr>
          <w:p w14:paraId="7F168477"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18</w:t>
            </w:r>
          </w:p>
        </w:tc>
      </w:tr>
      <w:tr w:rsidR="00E725D4" w14:paraId="3390748E" w14:textId="77777777" w:rsidTr="00E725D4">
        <w:trPr>
          <w:trHeight w:val="290"/>
        </w:trPr>
        <w:tc>
          <w:tcPr>
            <w:tcW w:w="1640" w:type="dxa"/>
            <w:tcBorders>
              <w:top w:val="nil"/>
              <w:left w:val="single" w:sz="4" w:space="0" w:color="auto"/>
              <w:bottom w:val="single" w:sz="4" w:space="0" w:color="auto"/>
              <w:right w:val="single" w:sz="4" w:space="0" w:color="auto"/>
            </w:tcBorders>
            <w:noWrap/>
            <w:vAlign w:val="bottom"/>
            <w:hideMark/>
          </w:tcPr>
          <w:p w14:paraId="6B80EAF8" w14:textId="77777777" w:rsidR="00E725D4" w:rsidRDefault="00E725D4">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Modena </w:t>
            </w:r>
          </w:p>
        </w:tc>
        <w:tc>
          <w:tcPr>
            <w:tcW w:w="1500" w:type="dxa"/>
            <w:tcBorders>
              <w:top w:val="nil"/>
              <w:left w:val="nil"/>
              <w:bottom w:val="single" w:sz="4" w:space="0" w:color="auto"/>
              <w:right w:val="single" w:sz="4" w:space="0" w:color="auto"/>
            </w:tcBorders>
            <w:noWrap/>
            <w:vAlign w:val="bottom"/>
            <w:hideMark/>
          </w:tcPr>
          <w:p w14:paraId="4BC32939"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7</w:t>
            </w:r>
          </w:p>
        </w:tc>
        <w:tc>
          <w:tcPr>
            <w:tcW w:w="960" w:type="dxa"/>
            <w:tcBorders>
              <w:top w:val="nil"/>
              <w:left w:val="nil"/>
              <w:bottom w:val="single" w:sz="4" w:space="0" w:color="auto"/>
              <w:right w:val="single" w:sz="4" w:space="0" w:color="auto"/>
            </w:tcBorders>
            <w:noWrap/>
            <w:vAlign w:val="bottom"/>
            <w:hideMark/>
          </w:tcPr>
          <w:p w14:paraId="191156BC"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43</w:t>
            </w:r>
          </w:p>
        </w:tc>
        <w:tc>
          <w:tcPr>
            <w:tcW w:w="1560" w:type="dxa"/>
            <w:tcBorders>
              <w:top w:val="nil"/>
              <w:left w:val="nil"/>
              <w:bottom w:val="single" w:sz="4" w:space="0" w:color="auto"/>
              <w:right w:val="single" w:sz="4" w:space="0" w:color="auto"/>
            </w:tcBorders>
            <w:noWrap/>
            <w:vAlign w:val="bottom"/>
            <w:hideMark/>
          </w:tcPr>
          <w:p w14:paraId="49393AC5"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0</w:t>
            </w:r>
          </w:p>
        </w:tc>
      </w:tr>
      <w:tr w:rsidR="00E725D4" w14:paraId="0AD44C5C" w14:textId="77777777" w:rsidTr="00E725D4">
        <w:trPr>
          <w:trHeight w:val="290"/>
        </w:trPr>
        <w:tc>
          <w:tcPr>
            <w:tcW w:w="1640" w:type="dxa"/>
            <w:tcBorders>
              <w:top w:val="nil"/>
              <w:left w:val="single" w:sz="4" w:space="0" w:color="auto"/>
              <w:bottom w:val="single" w:sz="4" w:space="0" w:color="auto"/>
              <w:right w:val="single" w:sz="4" w:space="0" w:color="auto"/>
            </w:tcBorders>
            <w:noWrap/>
            <w:vAlign w:val="bottom"/>
            <w:hideMark/>
          </w:tcPr>
          <w:p w14:paraId="47D42F05" w14:textId="77777777" w:rsidR="00E725D4" w:rsidRDefault="00E725D4">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Bologna</w:t>
            </w:r>
          </w:p>
        </w:tc>
        <w:tc>
          <w:tcPr>
            <w:tcW w:w="1500" w:type="dxa"/>
            <w:tcBorders>
              <w:top w:val="nil"/>
              <w:left w:val="nil"/>
              <w:bottom w:val="single" w:sz="4" w:space="0" w:color="auto"/>
              <w:right w:val="single" w:sz="4" w:space="0" w:color="auto"/>
            </w:tcBorders>
            <w:noWrap/>
            <w:vAlign w:val="bottom"/>
            <w:hideMark/>
          </w:tcPr>
          <w:p w14:paraId="321CBEF0"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5</w:t>
            </w:r>
          </w:p>
        </w:tc>
        <w:tc>
          <w:tcPr>
            <w:tcW w:w="960" w:type="dxa"/>
            <w:tcBorders>
              <w:top w:val="nil"/>
              <w:left w:val="nil"/>
              <w:bottom w:val="single" w:sz="4" w:space="0" w:color="auto"/>
              <w:right w:val="single" w:sz="4" w:space="0" w:color="auto"/>
            </w:tcBorders>
            <w:noWrap/>
            <w:vAlign w:val="bottom"/>
            <w:hideMark/>
          </w:tcPr>
          <w:p w14:paraId="13D5DB27"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105</w:t>
            </w:r>
          </w:p>
        </w:tc>
        <w:tc>
          <w:tcPr>
            <w:tcW w:w="1560" w:type="dxa"/>
            <w:tcBorders>
              <w:top w:val="nil"/>
              <w:left w:val="nil"/>
              <w:bottom w:val="single" w:sz="4" w:space="0" w:color="auto"/>
              <w:right w:val="single" w:sz="4" w:space="0" w:color="auto"/>
            </w:tcBorders>
            <w:noWrap/>
            <w:vAlign w:val="bottom"/>
            <w:hideMark/>
          </w:tcPr>
          <w:p w14:paraId="0E45121B"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12</w:t>
            </w:r>
          </w:p>
        </w:tc>
      </w:tr>
      <w:tr w:rsidR="00E725D4" w14:paraId="3AB420C0" w14:textId="77777777" w:rsidTr="00E725D4">
        <w:trPr>
          <w:trHeight w:val="290"/>
        </w:trPr>
        <w:tc>
          <w:tcPr>
            <w:tcW w:w="1640" w:type="dxa"/>
            <w:tcBorders>
              <w:top w:val="nil"/>
              <w:left w:val="single" w:sz="4" w:space="0" w:color="auto"/>
              <w:bottom w:val="single" w:sz="4" w:space="0" w:color="auto"/>
              <w:right w:val="single" w:sz="4" w:space="0" w:color="auto"/>
            </w:tcBorders>
            <w:noWrap/>
            <w:vAlign w:val="bottom"/>
            <w:hideMark/>
          </w:tcPr>
          <w:p w14:paraId="0D8221E4" w14:textId="77777777" w:rsidR="00E725D4" w:rsidRDefault="00E725D4">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Imola</w:t>
            </w:r>
          </w:p>
        </w:tc>
        <w:tc>
          <w:tcPr>
            <w:tcW w:w="1500" w:type="dxa"/>
            <w:tcBorders>
              <w:top w:val="nil"/>
              <w:left w:val="nil"/>
              <w:bottom w:val="single" w:sz="4" w:space="0" w:color="auto"/>
              <w:right w:val="single" w:sz="4" w:space="0" w:color="auto"/>
            </w:tcBorders>
            <w:noWrap/>
            <w:vAlign w:val="bottom"/>
            <w:hideMark/>
          </w:tcPr>
          <w:p w14:paraId="545AF1B5"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960" w:type="dxa"/>
            <w:tcBorders>
              <w:top w:val="nil"/>
              <w:left w:val="nil"/>
              <w:bottom w:val="single" w:sz="4" w:space="0" w:color="auto"/>
              <w:right w:val="single" w:sz="4" w:space="0" w:color="auto"/>
            </w:tcBorders>
            <w:noWrap/>
            <w:vAlign w:val="bottom"/>
            <w:hideMark/>
          </w:tcPr>
          <w:p w14:paraId="3FF78A57"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14</w:t>
            </w:r>
          </w:p>
        </w:tc>
        <w:tc>
          <w:tcPr>
            <w:tcW w:w="1560" w:type="dxa"/>
            <w:tcBorders>
              <w:top w:val="nil"/>
              <w:left w:val="nil"/>
              <w:bottom w:val="single" w:sz="4" w:space="0" w:color="auto"/>
              <w:right w:val="single" w:sz="4" w:space="0" w:color="auto"/>
            </w:tcBorders>
            <w:noWrap/>
            <w:vAlign w:val="bottom"/>
            <w:hideMark/>
          </w:tcPr>
          <w:p w14:paraId="1683006D"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17</w:t>
            </w:r>
          </w:p>
        </w:tc>
      </w:tr>
      <w:tr w:rsidR="00E725D4" w14:paraId="48D6E608" w14:textId="77777777" w:rsidTr="00E725D4">
        <w:trPr>
          <w:trHeight w:val="290"/>
        </w:trPr>
        <w:tc>
          <w:tcPr>
            <w:tcW w:w="1640" w:type="dxa"/>
            <w:tcBorders>
              <w:top w:val="nil"/>
              <w:left w:val="single" w:sz="4" w:space="0" w:color="auto"/>
              <w:bottom w:val="single" w:sz="4" w:space="0" w:color="auto"/>
              <w:right w:val="single" w:sz="4" w:space="0" w:color="auto"/>
            </w:tcBorders>
            <w:noWrap/>
            <w:vAlign w:val="bottom"/>
            <w:hideMark/>
          </w:tcPr>
          <w:p w14:paraId="2B5946B5" w14:textId="77777777" w:rsidR="00E725D4" w:rsidRDefault="00E725D4">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Ferrara</w:t>
            </w:r>
          </w:p>
        </w:tc>
        <w:tc>
          <w:tcPr>
            <w:tcW w:w="1500" w:type="dxa"/>
            <w:tcBorders>
              <w:top w:val="nil"/>
              <w:left w:val="nil"/>
              <w:bottom w:val="single" w:sz="4" w:space="0" w:color="auto"/>
              <w:right w:val="single" w:sz="4" w:space="0" w:color="auto"/>
            </w:tcBorders>
            <w:noWrap/>
            <w:vAlign w:val="bottom"/>
            <w:hideMark/>
          </w:tcPr>
          <w:p w14:paraId="1AFA693E"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5</w:t>
            </w:r>
          </w:p>
        </w:tc>
        <w:tc>
          <w:tcPr>
            <w:tcW w:w="960" w:type="dxa"/>
            <w:tcBorders>
              <w:top w:val="nil"/>
              <w:left w:val="nil"/>
              <w:bottom w:val="single" w:sz="4" w:space="0" w:color="auto"/>
              <w:right w:val="single" w:sz="4" w:space="0" w:color="auto"/>
            </w:tcBorders>
            <w:noWrap/>
            <w:vAlign w:val="bottom"/>
            <w:hideMark/>
          </w:tcPr>
          <w:p w14:paraId="13A4410C"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27</w:t>
            </w:r>
          </w:p>
        </w:tc>
        <w:tc>
          <w:tcPr>
            <w:tcW w:w="1560" w:type="dxa"/>
            <w:tcBorders>
              <w:top w:val="nil"/>
              <w:left w:val="nil"/>
              <w:bottom w:val="single" w:sz="4" w:space="0" w:color="auto"/>
              <w:right w:val="single" w:sz="4" w:space="0" w:color="auto"/>
            </w:tcBorders>
            <w:noWrap/>
            <w:vAlign w:val="bottom"/>
            <w:hideMark/>
          </w:tcPr>
          <w:p w14:paraId="1F6034D1"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11</w:t>
            </w:r>
          </w:p>
        </w:tc>
      </w:tr>
      <w:tr w:rsidR="00E725D4" w14:paraId="30C4CA71" w14:textId="77777777" w:rsidTr="00E725D4">
        <w:trPr>
          <w:trHeight w:val="290"/>
        </w:trPr>
        <w:tc>
          <w:tcPr>
            <w:tcW w:w="1640" w:type="dxa"/>
            <w:tcBorders>
              <w:top w:val="nil"/>
              <w:left w:val="single" w:sz="4" w:space="0" w:color="auto"/>
              <w:bottom w:val="single" w:sz="4" w:space="0" w:color="auto"/>
              <w:right w:val="single" w:sz="4" w:space="0" w:color="auto"/>
            </w:tcBorders>
            <w:noWrap/>
            <w:vAlign w:val="bottom"/>
            <w:hideMark/>
          </w:tcPr>
          <w:p w14:paraId="77438BE8" w14:textId="77777777" w:rsidR="00E725D4" w:rsidRDefault="00E725D4">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Romagna</w:t>
            </w:r>
          </w:p>
        </w:tc>
        <w:tc>
          <w:tcPr>
            <w:tcW w:w="1500" w:type="dxa"/>
            <w:tcBorders>
              <w:top w:val="nil"/>
              <w:left w:val="nil"/>
              <w:bottom w:val="single" w:sz="4" w:space="0" w:color="auto"/>
              <w:right w:val="single" w:sz="4" w:space="0" w:color="auto"/>
            </w:tcBorders>
            <w:noWrap/>
            <w:vAlign w:val="bottom"/>
            <w:hideMark/>
          </w:tcPr>
          <w:p w14:paraId="755B3CAA"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18</w:t>
            </w:r>
          </w:p>
        </w:tc>
        <w:tc>
          <w:tcPr>
            <w:tcW w:w="960" w:type="dxa"/>
            <w:tcBorders>
              <w:top w:val="nil"/>
              <w:left w:val="nil"/>
              <w:bottom w:val="single" w:sz="4" w:space="0" w:color="auto"/>
              <w:right w:val="single" w:sz="4" w:space="0" w:color="auto"/>
            </w:tcBorders>
            <w:noWrap/>
            <w:vAlign w:val="bottom"/>
            <w:hideMark/>
          </w:tcPr>
          <w:p w14:paraId="4833297D"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89</w:t>
            </w:r>
          </w:p>
        </w:tc>
        <w:tc>
          <w:tcPr>
            <w:tcW w:w="1560" w:type="dxa"/>
            <w:tcBorders>
              <w:top w:val="nil"/>
              <w:left w:val="nil"/>
              <w:bottom w:val="single" w:sz="4" w:space="0" w:color="auto"/>
              <w:right w:val="single" w:sz="4" w:space="0" w:color="auto"/>
            </w:tcBorders>
            <w:noWrap/>
            <w:vAlign w:val="bottom"/>
            <w:hideMark/>
          </w:tcPr>
          <w:p w14:paraId="6DCB7141"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r>
      <w:tr w:rsidR="00E725D4" w14:paraId="16CD94B4" w14:textId="77777777" w:rsidTr="00E725D4">
        <w:trPr>
          <w:trHeight w:val="290"/>
        </w:trPr>
        <w:tc>
          <w:tcPr>
            <w:tcW w:w="1640" w:type="dxa"/>
            <w:tcBorders>
              <w:top w:val="nil"/>
              <w:left w:val="single" w:sz="4" w:space="0" w:color="auto"/>
              <w:bottom w:val="single" w:sz="4" w:space="0" w:color="auto"/>
              <w:right w:val="single" w:sz="4" w:space="0" w:color="auto"/>
            </w:tcBorders>
            <w:noWrap/>
            <w:vAlign w:val="bottom"/>
            <w:hideMark/>
          </w:tcPr>
          <w:p w14:paraId="08972666" w14:textId="77777777" w:rsidR="00E725D4" w:rsidRDefault="00E725D4">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Totale</w:t>
            </w:r>
          </w:p>
        </w:tc>
        <w:tc>
          <w:tcPr>
            <w:tcW w:w="1500" w:type="dxa"/>
            <w:tcBorders>
              <w:top w:val="nil"/>
              <w:left w:val="nil"/>
              <w:bottom w:val="single" w:sz="4" w:space="0" w:color="auto"/>
              <w:right w:val="single" w:sz="4" w:space="0" w:color="auto"/>
            </w:tcBorders>
            <w:noWrap/>
            <w:vAlign w:val="bottom"/>
            <w:hideMark/>
          </w:tcPr>
          <w:p w14:paraId="29A8C643"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60</w:t>
            </w:r>
          </w:p>
        </w:tc>
        <w:tc>
          <w:tcPr>
            <w:tcW w:w="960" w:type="dxa"/>
            <w:tcBorders>
              <w:top w:val="nil"/>
              <w:left w:val="nil"/>
              <w:bottom w:val="single" w:sz="4" w:space="0" w:color="auto"/>
              <w:right w:val="single" w:sz="4" w:space="0" w:color="auto"/>
            </w:tcBorders>
            <w:noWrap/>
            <w:vAlign w:val="bottom"/>
            <w:hideMark/>
          </w:tcPr>
          <w:p w14:paraId="4ACABC73"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358</w:t>
            </w:r>
          </w:p>
        </w:tc>
        <w:tc>
          <w:tcPr>
            <w:tcW w:w="1560" w:type="dxa"/>
            <w:tcBorders>
              <w:top w:val="nil"/>
              <w:left w:val="nil"/>
              <w:bottom w:val="single" w:sz="4" w:space="0" w:color="auto"/>
              <w:right w:val="single" w:sz="4" w:space="0" w:color="auto"/>
            </w:tcBorders>
            <w:noWrap/>
            <w:vAlign w:val="bottom"/>
            <w:hideMark/>
          </w:tcPr>
          <w:p w14:paraId="5EAC65E3" w14:textId="77777777" w:rsidR="00E725D4" w:rsidRDefault="00E725D4">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62</w:t>
            </w:r>
          </w:p>
        </w:tc>
      </w:tr>
    </w:tbl>
    <w:p w14:paraId="67CE6BB2" w14:textId="77777777" w:rsidR="00E725D4" w:rsidRDefault="00E725D4" w:rsidP="00E725D4">
      <w:pPr>
        <w:rPr>
          <w:rFonts w:cstheme="minorHAnsi"/>
          <w:b/>
          <w:i/>
          <w:color w:val="201F1E"/>
          <w:sz w:val="24"/>
          <w:szCs w:val="24"/>
          <w:shd w:val="clear" w:color="auto" w:fill="FFFFFF"/>
        </w:rPr>
      </w:pPr>
    </w:p>
    <w:p w14:paraId="75066F3E" w14:textId="77777777" w:rsidR="00E725D4" w:rsidRPr="00E725D4" w:rsidRDefault="00E725D4" w:rsidP="00E725D4">
      <w:pPr>
        <w:spacing w:line="256" w:lineRule="auto"/>
        <w:rPr>
          <w:rFonts w:cstheme="minorHAnsi"/>
          <w:b/>
          <w:i/>
          <w:color w:val="201F1E"/>
          <w:sz w:val="24"/>
          <w:szCs w:val="24"/>
          <w:shd w:val="clear" w:color="auto" w:fill="FFFFFF"/>
        </w:rPr>
      </w:pPr>
      <w:r w:rsidRPr="00E725D4">
        <w:rPr>
          <w:rFonts w:cstheme="minorHAnsi"/>
          <w:b/>
          <w:i/>
          <w:color w:val="201F1E"/>
          <w:sz w:val="24"/>
          <w:szCs w:val="24"/>
          <w:shd w:val="clear" w:color="auto" w:fill="FFFFFF"/>
        </w:rPr>
        <w:t xml:space="preserve">E anche il numero per Asl provinciale dei </w:t>
      </w:r>
      <w:proofErr w:type="spellStart"/>
      <w:r w:rsidRPr="00E725D4">
        <w:rPr>
          <w:rFonts w:cstheme="minorHAnsi"/>
          <w:b/>
          <w:i/>
          <w:color w:val="201F1E"/>
          <w:sz w:val="24"/>
          <w:szCs w:val="24"/>
          <w:shd w:val="clear" w:color="auto" w:fill="FFFFFF"/>
        </w:rPr>
        <w:t>Covid</w:t>
      </w:r>
      <w:proofErr w:type="spellEnd"/>
      <w:r w:rsidRPr="00E725D4">
        <w:rPr>
          <w:rFonts w:cstheme="minorHAnsi"/>
          <w:b/>
          <w:i/>
          <w:color w:val="201F1E"/>
          <w:sz w:val="24"/>
          <w:szCs w:val="24"/>
          <w:shd w:val="clear" w:color="auto" w:fill="FFFFFF"/>
        </w:rPr>
        <w:t xml:space="preserve"> hotel in funzione attualmente? </w:t>
      </w:r>
    </w:p>
    <w:p w14:paraId="12E686BA" w14:textId="77777777" w:rsidR="00E725D4" w:rsidRDefault="00E725D4" w:rsidP="00E725D4">
      <w:pPr>
        <w:pStyle w:val="Paragrafoelenco"/>
        <w:spacing w:after="0" w:line="240" w:lineRule="auto"/>
        <w:ind w:left="360"/>
        <w:rPr>
          <w:sz w:val="24"/>
          <w:szCs w:val="24"/>
        </w:rPr>
      </w:pPr>
      <w:r>
        <w:rPr>
          <w:sz w:val="24"/>
          <w:szCs w:val="24"/>
        </w:rPr>
        <w:t>3 (tre) nella Provincia di Piacenza;</w:t>
      </w:r>
    </w:p>
    <w:p w14:paraId="30CB41F2" w14:textId="77777777" w:rsidR="00E725D4" w:rsidRDefault="00E725D4" w:rsidP="00E725D4">
      <w:pPr>
        <w:pStyle w:val="Paragrafoelenco"/>
        <w:spacing w:after="0" w:line="240" w:lineRule="auto"/>
        <w:ind w:left="360"/>
        <w:rPr>
          <w:sz w:val="24"/>
          <w:szCs w:val="24"/>
        </w:rPr>
      </w:pPr>
      <w:r>
        <w:rPr>
          <w:sz w:val="24"/>
          <w:szCs w:val="24"/>
        </w:rPr>
        <w:t>3 (tre) nella Provincia di Parma;</w:t>
      </w:r>
    </w:p>
    <w:p w14:paraId="00ADB97C" w14:textId="77777777" w:rsidR="00E725D4" w:rsidRDefault="00E725D4" w:rsidP="00E725D4">
      <w:pPr>
        <w:pStyle w:val="Paragrafoelenco"/>
        <w:spacing w:after="0" w:line="240" w:lineRule="auto"/>
        <w:ind w:left="360"/>
        <w:rPr>
          <w:sz w:val="24"/>
          <w:szCs w:val="24"/>
        </w:rPr>
      </w:pPr>
      <w:r>
        <w:rPr>
          <w:sz w:val="24"/>
          <w:szCs w:val="24"/>
        </w:rPr>
        <w:t>1 (uno) nella Provincia di Reggio Emilia;</w:t>
      </w:r>
    </w:p>
    <w:p w14:paraId="23B171FC" w14:textId="77777777" w:rsidR="00E725D4" w:rsidRDefault="00E725D4" w:rsidP="00E725D4">
      <w:pPr>
        <w:pStyle w:val="Paragrafoelenco"/>
        <w:spacing w:after="0" w:line="240" w:lineRule="auto"/>
        <w:ind w:left="360"/>
        <w:rPr>
          <w:sz w:val="24"/>
          <w:szCs w:val="24"/>
        </w:rPr>
      </w:pPr>
      <w:r>
        <w:rPr>
          <w:sz w:val="24"/>
          <w:szCs w:val="24"/>
        </w:rPr>
        <w:t>1 (uno) nella Provincia di Modena;</w:t>
      </w:r>
    </w:p>
    <w:p w14:paraId="696EA344" w14:textId="77777777" w:rsidR="00E725D4" w:rsidRDefault="00E725D4" w:rsidP="00E725D4">
      <w:pPr>
        <w:pStyle w:val="Paragrafoelenco"/>
        <w:spacing w:after="0" w:line="240" w:lineRule="auto"/>
        <w:ind w:left="360"/>
        <w:rPr>
          <w:sz w:val="24"/>
          <w:szCs w:val="24"/>
        </w:rPr>
      </w:pPr>
      <w:r>
        <w:rPr>
          <w:sz w:val="24"/>
          <w:szCs w:val="24"/>
        </w:rPr>
        <w:t>3 (tre) nella Provincia di Bologna;</w:t>
      </w:r>
    </w:p>
    <w:p w14:paraId="547A616C" w14:textId="77777777" w:rsidR="00E725D4" w:rsidRDefault="00E725D4" w:rsidP="00E725D4">
      <w:pPr>
        <w:pStyle w:val="Paragrafoelenco"/>
        <w:spacing w:after="0" w:line="240" w:lineRule="auto"/>
        <w:ind w:left="360"/>
        <w:rPr>
          <w:sz w:val="24"/>
          <w:szCs w:val="24"/>
        </w:rPr>
      </w:pPr>
      <w:r>
        <w:rPr>
          <w:sz w:val="24"/>
          <w:szCs w:val="24"/>
        </w:rPr>
        <w:t>1 (uno) nella Provincia di Ferrara;</w:t>
      </w:r>
    </w:p>
    <w:p w14:paraId="75F85C2D" w14:textId="77777777" w:rsidR="00E725D4" w:rsidRDefault="00E725D4" w:rsidP="00E725D4">
      <w:pPr>
        <w:pStyle w:val="Paragrafoelenco"/>
        <w:spacing w:after="0" w:line="240" w:lineRule="auto"/>
        <w:ind w:left="360"/>
        <w:rPr>
          <w:sz w:val="24"/>
          <w:szCs w:val="24"/>
        </w:rPr>
      </w:pPr>
      <w:r>
        <w:rPr>
          <w:sz w:val="24"/>
          <w:szCs w:val="24"/>
        </w:rPr>
        <w:t>2 (due) nella Provincia di Forlì-Cesena;</w:t>
      </w:r>
    </w:p>
    <w:p w14:paraId="53F5126C" w14:textId="77777777" w:rsidR="00E725D4" w:rsidRDefault="00E725D4" w:rsidP="00E725D4">
      <w:pPr>
        <w:pStyle w:val="Paragrafoelenco"/>
        <w:spacing w:after="0" w:line="240" w:lineRule="auto"/>
        <w:ind w:left="360"/>
        <w:rPr>
          <w:sz w:val="24"/>
          <w:szCs w:val="24"/>
        </w:rPr>
      </w:pPr>
      <w:r>
        <w:rPr>
          <w:sz w:val="24"/>
          <w:szCs w:val="24"/>
        </w:rPr>
        <w:t>3 (tre) nella Provincia di Rimini.</w:t>
      </w:r>
    </w:p>
    <w:p w14:paraId="7BD09E9C" w14:textId="77777777" w:rsidR="00E725D4" w:rsidRDefault="00E725D4" w:rsidP="00E725D4">
      <w:pPr>
        <w:pStyle w:val="Paragrafoelenco"/>
        <w:spacing w:after="0" w:line="240" w:lineRule="auto"/>
        <w:ind w:left="360"/>
        <w:rPr>
          <w:sz w:val="24"/>
          <w:szCs w:val="24"/>
        </w:rPr>
      </w:pPr>
      <w:r>
        <w:rPr>
          <w:sz w:val="24"/>
          <w:szCs w:val="24"/>
        </w:rPr>
        <w:t>Per un totale di 685 camere.</w:t>
      </w:r>
    </w:p>
    <w:p w14:paraId="6944B44C" w14:textId="63043519" w:rsidR="00E725D4" w:rsidRPr="00E725D4" w:rsidRDefault="00E725D4" w:rsidP="00E725D4">
      <w:pPr>
        <w:shd w:val="clear" w:color="auto" w:fill="FFFFFF"/>
        <w:spacing w:after="0" w:line="240" w:lineRule="auto"/>
        <w:jc w:val="both"/>
        <w:textAlignment w:val="baseline"/>
        <w:rPr>
          <w:rFonts w:ascii="Calibri" w:eastAsia="Times New Roman" w:hAnsi="Calibri" w:cs="Calibri"/>
          <w:b/>
          <w:bCs/>
          <w:color w:val="201F1E"/>
          <w:sz w:val="24"/>
          <w:szCs w:val="24"/>
          <w:u w:val="single"/>
          <w:lang w:eastAsia="it-IT"/>
        </w:rPr>
      </w:pPr>
      <w:r>
        <w:rPr>
          <w:rFonts w:ascii="Calibri" w:eastAsia="Times New Roman" w:hAnsi="Calibri" w:cs="Calibri"/>
          <w:b/>
          <w:bCs/>
          <w:i/>
          <w:iCs/>
          <w:color w:val="201F1E"/>
          <w:sz w:val="24"/>
          <w:szCs w:val="24"/>
          <w:lang w:eastAsia="it-IT"/>
        </w:rPr>
        <w:br/>
      </w:r>
      <w:r w:rsidRPr="00E725D4">
        <w:rPr>
          <w:rFonts w:ascii="Calibri" w:eastAsia="Times New Roman" w:hAnsi="Calibri" w:cs="Calibri"/>
          <w:b/>
          <w:bCs/>
          <w:color w:val="201F1E"/>
          <w:sz w:val="24"/>
          <w:szCs w:val="24"/>
          <w:u w:val="single"/>
          <w:lang w:eastAsia="it-IT"/>
        </w:rPr>
        <w:t xml:space="preserve">26 novembre </w:t>
      </w:r>
    </w:p>
    <w:p w14:paraId="2C02EDBE" w14:textId="3375ED2E" w:rsidR="00E725D4" w:rsidRPr="00E725D4" w:rsidRDefault="00E725D4" w:rsidP="00E725D4">
      <w:pPr>
        <w:shd w:val="clear" w:color="auto" w:fill="FFFFFF"/>
        <w:spacing w:after="0" w:line="240" w:lineRule="auto"/>
        <w:jc w:val="both"/>
        <w:textAlignment w:val="baseline"/>
        <w:rPr>
          <w:rFonts w:ascii="Calibri" w:eastAsia="Times New Roman" w:hAnsi="Calibri" w:cs="Calibri"/>
          <w:b/>
          <w:bCs/>
          <w:i/>
          <w:iCs/>
          <w:color w:val="201F1E"/>
          <w:sz w:val="24"/>
          <w:szCs w:val="24"/>
          <w:lang w:eastAsia="it-IT"/>
        </w:rPr>
      </w:pPr>
      <w:r w:rsidRPr="00E725D4">
        <w:rPr>
          <w:rFonts w:ascii="Calibri" w:eastAsia="Times New Roman" w:hAnsi="Calibri" w:cs="Calibri"/>
          <w:b/>
          <w:bCs/>
          <w:i/>
          <w:iCs/>
          <w:color w:val="201F1E"/>
          <w:sz w:val="24"/>
          <w:szCs w:val="24"/>
          <w:lang w:eastAsia="it-IT"/>
        </w:rPr>
        <w:t>Ho letto sulla stampa locale che l'associazione Federconsumatori, nel denunciare il costo eccessivo dei tamponi naso-faringei presso le strutture private (tra 90 e 120 euro), ha scritto al presidente Bonaccini e all'assessore Donini per chiedere la definizione di un tetto massimo del costo, per calmierare questi eccessi.</w:t>
      </w:r>
      <w:r>
        <w:rPr>
          <w:rFonts w:ascii="Calibri" w:eastAsia="Times New Roman" w:hAnsi="Calibri" w:cs="Calibri"/>
          <w:b/>
          <w:bCs/>
          <w:i/>
          <w:iCs/>
          <w:color w:val="201F1E"/>
          <w:sz w:val="24"/>
          <w:szCs w:val="24"/>
          <w:lang w:eastAsia="it-IT"/>
        </w:rPr>
        <w:t xml:space="preserve"> </w:t>
      </w:r>
      <w:r w:rsidRPr="00E725D4">
        <w:rPr>
          <w:rFonts w:ascii="Calibri" w:eastAsia="Times New Roman" w:hAnsi="Calibri" w:cs="Calibri"/>
          <w:b/>
          <w:bCs/>
          <w:i/>
          <w:iCs/>
          <w:color w:val="201F1E"/>
          <w:sz w:val="24"/>
          <w:szCs w:val="24"/>
          <w:lang w:eastAsia="it-IT"/>
        </w:rPr>
        <w:t xml:space="preserve">Federconsumatori riferisce anche che nei giorni scorsi la Regione </w:t>
      </w:r>
      <w:r w:rsidRPr="00E725D4">
        <w:rPr>
          <w:rFonts w:ascii="Calibri" w:eastAsia="Times New Roman" w:hAnsi="Calibri" w:cs="Calibri"/>
          <w:b/>
          <w:bCs/>
          <w:i/>
          <w:iCs/>
          <w:color w:val="201F1E"/>
          <w:sz w:val="24"/>
          <w:szCs w:val="24"/>
          <w:lang w:eastAsia="it-IT"/>
        </w:rPr>
        <w:lastRenderedPageBreak/>
        <w:t xml:space="preserve">Campania ha fissato il costo massimo di 62 euro. È possibile prevedere una misura del genere anche in Emilia-Romagna? </w:t>
      </w:r>
    </w:p>
    <w:p w14:paraId="07676CFD" w14:textId="4F2D5A0B" w:rsidR="00E725D4" w:rsidRDefault="00E725D4" w:rsidP="00E725D4">
      <w:pPr>
        <w:rPr>
          <w:rFonts w:cstheme="minorHAnsi"/>
          <w:color w:val="000000"/>
          <w:sz w:val="24"/>
          <w:szCs w:val="24"/>
        </w:rPr>
      </w:pPr>
      <w:r>
        <w:rPr>
          <w:rFonts w:cstheme="minorHAnsi"/>
          <w:color w:val="000000"/>
          <w:sz w:val="24"/>
          <w:szCs w:val="24"/>
        </w:rPr>
        <w:t>Il tema è stato sottoposto all’attenzione e m</w:t>
      </w:r>
      <w:r w:rsidRPr="0017421F">
        <w:rPr>
          <w:rFonts w:cstheme="minorHAnsi"/>
          <w:color w:val="000000"/>
          <w:sz w:val="24"/>
          <w:szCs w:val="24"/>
        </w:rPr>
        <w:t>isure di questo tipo sono in corso di valutazione.</w:t>
      </w:r>
    </w:p>
    <w:p w14:paraId="19E43CDA" w14:textId="77777777" w:rsidR="00E725D4" w:rsidRPr="0056044E" w:rsidRDefault="00E725D4" w:rsidP="00E725D4">
      <w:pPr>
        <w:rPr>
          <w:rFonts w:cstheme="minorHAnsi"/>
          <w:color w:val="000000"/>
          <w:sz w:val="24"/>
          <w:szCs w:val="24"/>
        </w:rPr>
      </w:pPr>
    </w:p>
    <w:p w14:paraId="17E06173" w14:textId="77777777" w:rsidR="00E725D4" w:rsidRDefault="00E725D4"/>
    <w:sectPr w:rsidR="00E725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236B"/>
    <w:multiLevelType w:val="hybridMultilevel"/>
    <w:tmpl w:val="2BC80A54"/>
    <w:lvl w:ilvl="0" w:tplc="7B58798C">
      <w:start w:val="1"/>
      <w:numFmt w:val="decimal"/>
      <w:lvlText w:val="%1)"/>
      <w:lvlJc w:val="left"/>
      <w:pPr>
        <w:ind w:left="360" w:hanging="360"/>
      </w:pPr>
      <w:rPr>
        <w:b/>
        <w:bCs w:val="0"/>
        <w:i/>
        <w:iCs/>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046A03AF"/>
    <w:multiLevelType w:val="hybridMultilevel"/>
    <w:tmpl w:val="A8B0F332"/>
    <w:lvl w:ilvl="0" w:tplc="FFFFFFF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309577E9"/>
    <w:multiLevelType w:val="hybridMultilevel"/>
    <w:tmpl w:val="9B7A000C"/>
    <w:lvl w:ilvl="0" w:tplc="44060B94">
      <w:start w:val="1"/>
      <w:numFmt w:val="decimal"/>
      <w:lvlText w:val="%1)"/>
      <w:lvlJc w:val="left"/>
      <w:pPr>
        <w:ind w:left="360" w:hanging="360"/>
      </w:pPr>
      <w:rPr>
        <w:rFonts w:ascii="Calibri" w:eastAsia="Times New Roman" w:hAnsi="Calibri" w:cs="Calibri" w:hint="default"/>
        <w:i/>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31565EE"/>
    <w:multiLevelType w:val="hybridMultilevel"/>
    <w:tmpl w:val="33802270"/>
    <w:lvl w:ilvl="0" w:tplc="9A764066">
      <w:start w:val="1"/>
      <w:numFmt w:val="decimal"/>
      <w:lvlText w:val="%1)"/>
      <w:lvlJc w:val="left"/>
      <w:pPr>
        <w:ind w:left="360" w:hanging="360"/>
      </w:pPr>
      <w:rPr>
        <w:b/>
        <w:bCs/>
        <w:i/>
        <w:iCs/>
        <w:sz w:val="24"/>
        <w:szCs w:val="24"/>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D4"/>
    <w:rsid w:val="00506C9C"/>
    <w:rsid w:val="00E330DB"/>
    <w:rsid w:val="00E72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82CA"/>
  <w15:chartTrackingRefBased/>
  <w15:docId w15:val="{1B6C3081-85F7-40BF-930B-0F7F31FE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25D4"/>
    <w:pPr>
      <w:ind w:left="720"/>
      <w:contextualSpacing/>
    </w:pPr>
  </w:style>
  <w:style w:type="paragraph" w:customStyle="1" w:styleId="p1">
    <w:name w:val="p1"/>
    <w:basedOn w:val="Normale"/>
    <w:rsid w:val="00E725D4"/>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641159">
      <w:bodyDiv w:val="1"/>
      <w:marLeft w:val="0"/>
      <w:marRight w:val="0"/>
      <w:marTop w:val="0"/>
      <w:marBottom w:val="0"/>
      <w:divBdr>
        <w:top w:val="none" w:sz="0" w:space="0" w:color="auto"/>
        <w:left w:val="none" w:sz="0" w:space="0" w:color="auto"/>
        <w:bottom w:val="none" w:sz="0" w:space="0" w:color="auto"/>
        <w:right w:val="none" w:sz="0" w:space="0" w:color="auto"/>
      </w:divBdr>
    </w:div>
    <w:div w:id="1888026785">
      <w:bodyDiv w:val="1"/>
      <w:marLeft w:val="0"/>
      <w:marRight w:val="0"/>
      <w:marTop w:val="0"/>
      <w:marBottom w:val="0"/>
      <w:divBdr>
        <w:top w:val="none" w:sz="0" w:space="0" w:color="auto"/>
        <w:left w:val="none" w:sz="0" w:space="0" w:color="auto"/>
        <w:bottom w:val="none" w:sz="0" w:space="0" w:color="auto"/>
        <w:right w:val="none" w:sz="0" w:space="0" w:color="auto"/>
      </w:divBdr>
    </w:div>
    <w:div w:id="19133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1242</Words>
  <Characters>7086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Sansavini Mila</dc:creator>
  <cp:keywords/>
  <dc:description/>
  <cp:lastModifiedBy>Sansavini Mila</cp:lastModifiedBy>
  <cp:revision>1</cp:revision>
  <dcterms:created xsi:type="dcterms:W3CDTF">2020-11-30T10:49:00Z</dcterms:created>
  <dcterms:modified xsi:type="dcterms:W3CDTF">2020-11-30T11:06:00Z</dcterms:modified>
</cp:coreProperties>
</file>