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FE" w:rsidRDefault="000A03FE" w:rsidP="000A03FE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0440BE">
        <w:rPr>
          <w:rFonts w:asciiTheme="minorHAnsi" w:hAnsiTheme="minorHAnsi" w:cstheme="minorHAnsi"/>
          <w:b/>
        </w:rPr>
        <w:t xml:space="preserve">Richieste dei consiglieri regionali per Capigruppo del </w:t>
      </w:r>
      <w:r w:rsidR="00B00DE1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 giugno</w:t>
      </w:r>
    </w:p>
    <w:p w:rsidR="000A03FE" w:rsidRPr="00B230AA" w:rsidRDefault="000A03FE" w:rsidP="000A03FE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b/>
          <w:i/>
          <w:color w:val="201F1E"/>
          <w:sz w:val="24"/>
          <w:szCs w:val="24"/>
          <w:shd w:val="clear" w:color="auto" w:fill="FFFFFF"/>
        </w:rPr>
      </w:pPr>
    </w:p>
    <w:p w:rsidR="000A03FE" w:rsidRDefault="000A03FE" w:rsidP="000A03FE">
      <w:pPr>
        <w:pStyle w:val="Paragrafoelenco"/>
        <w:numPr>
          <w:ilvl w:val="0"/>
          <w:numId w:val="1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34566E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Cons.</w:t>
      </w:r>
      <w:r w:rsidR="009C2560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 xml:space="preserve"> Bergamini</w:t>
      </w:r>
    </w:p>
    <w:p w:rsidR="009C2560" w:rsidRPr="008D2E26" w:rsidRDefault="009C2560" w:rsidP="009C256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323130"/>
          <w:lang w:eastAsia="it-IT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I</w:t>
      </w:r>
      <w:r w:rsidR="00A316B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9C2560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medici convenzionati emergenza sanitaria 118 (MET), non hanno ricevuto nessun riconoscimento economico per l'emergenza sanitaria del COVID-19.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9C2560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E' previsto il bonus anche per loro? Se non lo è, per quale motivo?</w:t>
      </w:r>
      <w:r w:rsid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8D2E26" w:rsidRPr="008D2E26" w:rsidRDefault="008D2E26" w:rsidP="008D2E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E’ previsto, si sta individuando il percorso idoneo.</w:t>
      </w:r>
    </w:p>
    <w:p w:rsidR="006226C6" w:rsidRPr="006226C6" w:rsidRDefault="006226C6" w:rsidP="006226C6">
      <w:pPr>
        <w:pStyle w:val="Paragrafoelenco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i/>
          <w:color w:val="323130"/>
          <w:lang w:eastAsia="it-IT"/>
        </w:rPr>
      </w:pPr>
    </w:p>
    <w:p w:rsidR="006226C6" w:rsidRPr="002564AE" w:rsidRDefault="006226C6" w:rsidP="009C2560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6226C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Le "</w:t>
      </w:r>
      <w:r w:rsidR="006202F1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F</w:t>
      </w:r>
      <w:r w:rsidRPr="006226C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ondazioni di partecipazione" possono accedere ai fondi del terzo settore?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2564AE" w:rsidRPr="00C52556" w:rsidRDefault="002564AE" w:rsidP="002564A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lang w:eastAsia="it-IT"/>
        </w:rPr>
      </w:pP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Sarebbe opportuna una precisazione circa il tipo di fondi a cui si fa riferimento nel quesito per poter dare un riscontro specifico. Al momento, comunque, le “Fondazioni di partecipazione” non rientrano tra i soggetti qualificati come enti di Terzo settore. Con l’attivazione del RUNTS - Registro unico nazionale del Terzo settore (il decreto è in fase di definizione) molto probabilmente verrà estesa anche ad esse la possibilità di iscriversi, se con forma giuridica e finalità statutarie compatibili, e</w:t>
      </w:r>
      <w:r w:rsidR="00D36495"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</w:t>
      </w:r>
      <w:r w:rsidR="00D36495"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di conseguenza, riconosciuta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la qualifica di ETS.</w:t>
      </w:r>
      <w:r w:rsidR="00D36495" w:rsidRPr="00C14099">
        <w:rPr>
          <w:rFonts w:ascii="Calibri" w:eastAsia="Times New Roman" w:hAnsi="Calibri" w:cs="Calibri"/>
          <w:color w:val="201F1E"/>
          <w:sz w:val="24"/>
          <w:szCs w:val="24"/>
          <w:lang w:eastAsia="it-IT"/>
        </w:rPr>
        <w:t xml:space="preserve"> 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Ad oggi</w:t>
      </w:r>
      <w:r w:rsidR="00D36495"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, ad esempio, 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non possono ac</w:t>
      </w:r>
      <w:r w:rsidR="00C52556"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cedere ai fondi della LR 1/2020, appena approvata (s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ostegno per l’accesso al credito</w:t>
      </w:r>
      <w:r w:rsidR="00C52556"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)</w:t>
      </w:r>
      <w:r w:rsidRPr="00C14099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 né ai Bandi regionali finanziati con Fondi statali (ai sensi dell’art.72 e 73 del Dlgs 117).</w:t>
      </w:r>
    </w:p>
    <w:p w:rsidR="00031346" w:rsidRDefault="00031346" w:rsidP="00031346">
      <w:pPr>
        <w:pStyle w:val="Paragrafoelenco"/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031346" w:rsidRPr="00031346" w:rsidRDefault="00031346" w:rsidP="00031346">
      <w:pPr>
        <w:pStyle w:val="Paragrafoelenco"/>
        <w:numPr>
          <w:ilvl w:val="0"/>
          <w:numId w:val="1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34566E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Cons.</w:t>
      </w:r>
      <w:r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 xml:space="preserve"> </w:t>
      </w:r>
      <w:r w:rsidR="00C251F3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Castaldini</w:t>
      </w:r>
    </w:p>
    <w:p w:rsidR="00031346" w:rsidRPr="00031346" w:rsidRDefault="00031346" w:rsidP="0003134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Quesito PTR</w:t>
      </w:r>
    </w:p>
    <w:p w:rsidR="00031346" w:rsidRDefault="00031346" w:rsidP="00031346">
      <w:pPr>
        <w:pStyle w:val="Paragrafoelenco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Visto che il Piano Territoriale Regionale (PTR) 2018-2020 è in scadenza e prevede un sistema di premi alle Unioni che realizzano entro il 30 giugno determinate azioni, si chiede alla Giunta se, vista l’emergenza covid-19, stia valutando un rinvio di questo termine.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E15CFB" w:rsidRPr="00E15CFB" w:rsidRDefault="00E15CFB" w:rsidP="00E15C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Il PRT (Programma riordino territoriale) 2018-2020, bando per la concessione di contributi trasversali annuali alle Unioni a sostegno delle gestioni associate, prevedeva che nel 2020 la scadenza per la 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presentazione delle domande da 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parte di tutte le categorie d</w:t>
      </w:r>
      <w:r w:rsidR="00BB54E4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i Unioni (avviate, in sviluppo 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e mature) fosse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u w:val="single"/>
          <w:bdr w:val="none" w:sz="0" w:space="0" w:color="auto" w:frame="1"/>
          <w:lang w:eastAsia="it-IT"/>
        </w:rPr>
        <w:t> il 30 aprile 2020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; e prevedeva, per l’accesso quest’anno ai contributi, il raggiungimento di obiettivi piuttosto impegnativi per le Unioni avviate.</w:t>
      </w:r>
    </w:p>
    <w:p w:rsidR="00E15CFB" w:rsidRPr="00E15CFB" w:rsidRDefault="00E15CFB" w:rsidP="00E15C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Già verso metà febbraio scorso, sulla base di un incontro in videoconferenza con i Presidenti di tutte le Unioni avviate per monitorare e fare il punto della situazione, l’Assessore Calvano, valutate le grandi difficoltà operative incontrate da queste Unioni a causa dell’emergenza Coronavirus, e quelle ulteriori già prevedibili per il notevole rallentamento delle attività ordinarie e per l’estrema difficoltà di svolgimento delle sedute dei Consigli comunali (che dispongono i conferimenti di funzioni alle Unioni), ha accolto la richiesta di questa categoria di Unioni di una proroga del termine; tale proroga è stata concordata in due mesi, ossia 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u w:val="single"/>
          <w:bdr w:val="none" w:sz="0" w:space="0" w:color="auto" w:frame="1"/>
          <w:lang w:eastAsia="it-IT"/>
        </w:rPr>
        <w:t>fino al 30 giugno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. In tal senso è stata approvata dalla Giunta la delibera n.250 del 30 marzo 2020, che per il resto ha mantenuto fermi i requisiti ed i criteri del 2019.</w:t>
      </w:r>
    </w:p>
    <w:p w:rsidR="00E15CFB" w:rsidRPr="00E15CFB" w:rsidRDefault="00E15CFB" w:rsidP="00E15CF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Questa scelta di una proroga non molto lunga è stata imposta dall’esigenza, condivisa dalla maggioranza delle Unioni, di non allungare troppo i tempi per la concessione delle risorse e quindi per la disponibilità effettiva delle stesse. Pertanto, per garantire le risorse e la connessa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liquidità in tempi abbastanza </w:t>
      </w:r>
      <w:r w:rsidRPr="00E15CFB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rapidi agli Enti nonostante l’eccezionalità degli eventi, è stata prevista la citata proroga prestando quindi la massima attenzione alle segnalazioni e alle difficoltà delle Unioni; uno slittamento ulteriore del termine di scadenza per le domande è incompatibile con la necessità prioritaria di erogare e liquidare in corso d’anno, e nel più breve tempo possibile, le ingenti risorse disponibili.</w:t>
      </w:r>
    </w:p>
    <w:p w:rsidR="00031346" w:rsidRPr="00E15CFB" w:rsidRDefault="00031346" w:rsidP="00E15CF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031346" w:rsidRDefault="00031346" w:rsidP="00031346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Vista la dichiarazione a mezzo stampa della vicepresidente Schlein del 01/06/2020 attraverso la quale impegna la </w:t>
      </w:r>
      <w:r w:rsidR="00F348AE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egione ad uno screening del personale impiegato nei centri estivi con l’utilizzo di tampone nasofari</w:t>
      </w:r>
      <w:r w:rsidR="00713F1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n</w:t>
      </w:r>
      <w:bookmarkStart w:id="0" w:name="_GoBack"/>
      <w:bookmarkEnd w:id="0"/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geo, e vista la determinazione 9216 del 01/06/2020 a firma </w:t>
      </w:r>
      <w:r w:rsidR="001420B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DG </w:t>
      </w:r>
      <w:proofErr w:type="spellStart"/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Petropulacos</w:t>
      </w:r>
      <w:proofErr w:type="spellEnd"/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che estende la platea di screening sierologico, tra le altre, al personale impiegato nei centri estivi,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si chiede: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031346" w:rsidRDefault="00031346" w:rsidP="00031346">
      <w:pPr>
        <w:pStyle w:val="Paragrafoelenco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-</w:t>
      </w:r>
      <w:r w:rsidR="001420B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quale tecnica intenda utilizzare la </w:t>
      </w:r>
      <w:r w:rsidR="008D2E2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egione per condurre lo screening</w:t>
      </w:r>
    </w:p>
    <w:p w:rsidR="008D2E26" w:rsidRDefault="008D2E26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La Regione, anche per abbreviare i tempi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ha dato indicazione di utilizzare il tampone nasofaringeo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. I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n una 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specifica 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realtà territoriale che aveva già organizzato l’effettuazione del test sierologico si è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 invece,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concordato 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di procedere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come programmato.</w:t>
      </w:r>
    </w:p>
    <w:p w:rsidR="00977FD9" w:rsidRPr="008D2E26" w:rsidRDefault="00977FD9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031346" w:rsidRDefault="00031346" w:rsidP="00031346">
      <w:pPr>
        <w:pStyle w:val="Paragrafoelenco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-</w:t>
      </w:r>
      <w:r w:rsidR="001420B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se lo screening, in particolare quello attraverso il tampone nasofaringeo, sarà su base volontaria o obbligatorio </w:t>
      </w:r>
    </w:p>
    <w:p w:rsidR="008D2E26" w:rsidRDefault="008D2E26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Come </w:t>
      </w:r>
      <w:r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nel caso di 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ogni atto medico</w:t>
      </w:r>
      <w:r w:rsidR="005001B3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sarà sottoposto a consenso da parte dell’interessato.</w:t>
      </w:r>
    </w:p>
    <w:p w:rsidR="00977FD9" w:rsidRPr="00977FD9" w:rsidRDefault="00977FD9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8D2E26" w:rsidRDefault="00031346" w:rsidP="008D2E26">
      <w:pPr>
        <w:pStyle w:val="Paragrafoelenco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-</w:t>
      </w:r>
      <w:r w:rsidR="001420B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come la regione intenda organizzare lo screening e con che tempi</w:t>
      </w:r>
    </w:p>
    <w:p w:rsidR="008D2E26" w:rsidRDefault="008D2E26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Lo screening verrà effettuato dalle Aziende </w:t>
      </w:r>
      <w:r w:rsidR="005001B3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Sanitarie Territoriali, </w:t>
      </w:r>
      <w:r w:rsidRPr="008D2E26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con modalità concordate con i gestori.</w:t>
      </w:r>
    </w:p>
    <w:p w:rsidR="00977FD9" w:rsidRPr="00977FD9" w:rsidRDefault="00977FD9" w:rsidP="008D2E26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7F18D7" w:rsidRDefault="00031346" w:rsidP="007F18D7">
      <w:pPr>
        <w:pStyle w:val="Paragrafoelenco"/>
        <w:shd w:val="clear" w:color="auto" w:fill="FFFFFF"/>
        <w:spacing w:after="0" w:line="240" w:lineRule="auto"/>
        <w:ind w:left="360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-</w:t>
      </w:r>
      <w:r w:rsidR="001420BB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031346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se lo screening sia in qualche modo oneroso per gli operatori o per gli organizzatori dei centri estivi</w:t>
      </w:r>
      <w:r w:rsid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E45264" w:rsidRPr="00E45264" w:rsidRDefault="00E45264" w:rsidP="00E4526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E45264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Non sarà oneroso per gli operatori o organizzatori.</w:t>
      </w:r>
    </w:p>
    <w:p w:rsidR="007F18D7" w:rsidRPr="00E45264" w:rsidRDefault="007F18D7" w:rsidP="00E452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7F18D7" w:rsidRPr="007F18D7" w:rsidRDefault="007F18D7" w:rsidP="007F18D7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Quesito movida:</w:t>
      </w:r>
    </w:p>
    <w:p w:rsidR="007F18D7" w:rsidRPr="007F18D7" w:rsidRDefault="007F18D7" w:rsidP="007F18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Visto l’art.1 lettera m del DPCM 17 maggio 2020 e il relativo all.9</w:t>
      </w:r>
    </w:p>
    <w:p w:rsidR="007F18D7" w:rsidRPr="007F18D7" w:rsidRDefault="007F18D7" w:rsidP="007F18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Visto il punto 3 del decreto 87 del 23/05/2020 che rimanda ad una successiva ordinanza la ripresa di attività ludiche come cinema, spettacoli, discoteche, sagre e fiere</w:t>
      </w:r>
    </w:p>
    <w:p w:rsidR="007F18D7" w:rsidRPr="007F18D7" w:rsidRDefault="007F18D7" w:rsidP="007F18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Visto l’allegato 2 del decreto 87 del 23/05/2020</w:t>
      </w:r>
    </w:p>
    <w:p w:rsidR="007F18D7" w:rsidRPr="007F18D7" w:rsidRDefault="007F18D7" w:rsidP="007F18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Viste le “Indicazioni per i Comuni per stare sicuri ai tempi del COVID nel tempo libero, nella movida e nei luoghi di ritrovo delle città”</w:t>
      </w:r>
    </w:p>
    <w:p w:rsidR="00341A48" w:rsidRDefault="007F18D7" w:rsidP="00341A4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- la 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egione intenda consentire e normare la ripresa di attività come discoteche e eventi danzanti? 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lang w:eastAsia="it-IT"/>
        </w:rPr>
      </w:pPr>
      <w:r w:rsidRPr="00341A48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it-IT"/>
        </w:rPr>
        <w:t>Al momento non è prevista una data certa per la ripresa delle attività delle discoteche. Non è stato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ancora elaborato</w:t>
      </w:r>
      <w:r w:rsidR="005001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, infatti,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 un documento di linee guida </w:t>
      </w:r>
      <w:r w:rsidR="005001B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in tal senso 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da parte della conferenza delle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egioni.</w:t>
      </w:r>
    </w:p>
    <w:p w:rsidR="00341A48" w:rsidRDefault="00341A48" w:rsidP="00341A48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7F18D7" w:rsidRDefault="007F18D7" w:rsidP="007F18D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- </w:t>
      </w: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la 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R</w:t>
      </w:r>
      <w:r w:rsidRPr="007F18D7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egione intenda consentire le cosiddette “cene spettacolo”, ovvero eventi di intrattenimento teatrale o musicale con somministrazione di cibi e bevande?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341A48" w:rsidRPr="00341A48" w:rsidRDefault="00341A48" w:rsidP="00341A4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lang w:eastAsia="it-IT"/>
        </w:rPr>
      </w:pP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In relazione agli esercizi di somministrazione e ristorazione, ai sensi delle prescrizioni del “ Protocollo di regolamentazione delle misure per il contrasto e il contenimento della diffusione del virus Covid-19 in relazione allo svolgimento in sicurezza DEGLI ESERCIZI DI SOMMINISTRAZIONE ALIMENTI E BEVANDE E ATTIVITA’ DA ASPORTO E CONSUMO SUL POSTO in Emilia-Romagna” rimangono consentite le attività accessorie di cui al comma 1 art. 12 LR 14/2003 (installazione e l'uso di apparecchi radiotelevisivi ed impianti in genere per la diffusione sonora e di immagini) e le attività di cui al comma 2 del sopracitato art. 12 (piccoli </w:t>
      </w:r>
      <w:r w:rsidR="004178A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trattenimenti musicali senza ballo in sale con capienza e afflusso non superiore a cento persone dove la clientela acceda per la consumazione, senza l'apprestamento di elementi atti a trasformare l'esercizio in locale di pubblico spettacolo o </w:t>
      </w:r>
      <w:r w:rsidR="004178A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in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trattenimento e senza il pagamento di biglietto di ingresso o di aumento nei costi delle consumazioni)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 xml:space="preserve">, </w:t>
      </w:r>
      <w:r w:rsidRPr="00341A4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it-IT"/>
        </w:rPr>
        <w:t>fermo restando il rispetto del distanziamento interpersonale e il divieto di assembramenti.</w:t>
      </w:r>
    </w:p>
    <w:p w:rsidR="002E0F55" w:rsidRPr="00DC65B9" w:rsidRDefault="002E0F55" w:rsidP="00DC65B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2E0F55" w:rsidRDefault="001B7B4F" w:rsidP="002E0F55">
      <w:pPr>
        <w:pStyle w:val="Paragrafoelenco"/>
        <w:numPr>
          <w:ilvl w:val="0"/>
          <w:numId w:val="1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34566E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Cons.</w:t>
      </w:r>
      <w:r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 xml:space="preserve"> Rancan</w:t>
      </w:r>
    </w:p>
    <w:p w:rsidR="001B7B4F" w:rsidRPr="00E45264" w:rsidRDefault="002E0F55" w:rsidP="002E0F55">
      <w:pPr>
        <w:pStyle w:val="Paragrafoelenco"/>
        <w:numPr>
          <w:ilvl w:val="0"/>
          <w:numId w:val="4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lastRenderedPageBreak/>
        <w:t>V</w:t>
      </w:r>
      <w:r w:rsidR="001B7B4F"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orrei sapere quali reparti e servizi di ospedali sono attualmente ancora chiusi a causa dell'emergenza </w:t>
      </w:r>
      <w:proofErr w:type="spellStart"/>
      <w:r w:rsidR="001B7B4F"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covid</w:t>
      </w:r>
      <w:proofErr w:type="spellEnd"/>
      <w:r w:rsidR="001B7B4F"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. Possibilmente divisi per 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P</w:t>
      </w:r>
      <w:r w:rsidR="001B7B4F"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rovincia</w:t>
      </w:r>
      <w:r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2E0F55">
        <w:rPr>
          <w:rFonts w:eastAsia="Times New Roman" w:cstheme="minorHAnsi"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2E0F55" w:rsidRDefault="00E45264" w:rsidP="00E4526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E45264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La situazione attualmente è dinamica e differenziata e nel poco tempo disponibile non è stato possibile ricostruire un quadro completo.</w:t>
      </w:r>
    </w:p>
    <w:p w:rsidR="00E45264" w:rsidRPr="00E45264" w:rsidRDefault="00E45264" w:rsidP="00E45264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</w:p>
    <w:p w:rsidR="001B7B4F" w:rsidRPr="00031346" w:rsidRDefault="001B7B4F" w:rsidP="002E0F55">
      <w:pPr>
        <w:pStyle w:val="Paragrafoelenco"/>
        <w:numPr>
          <w:ilvl w:val="0"/>
          <w:numId w:val="1"/>
        </w:numPr>
        <w:jc w:val="both"/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</w:pPr>
      <w:r w:rsidRPr="0034566E"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>Cons.</w:t>
      </w:r>
      <w:r>
        <w:rPr>
          <w:rFonts w:cstheme="minorHAnsi"/>
          <w:b/>
          <w:color w:val="201F1E"/>
          <w:sz w:val="24"/>
          <w:szCs w:val="24"/>
          <w:u w:val="single"/>
          <w:shd w:val="clear" w:color="auto" w:fill="FFFFFF"/>
        </w:rPr>
        <w:t xml:space="preserve"> Zamboni</w:t>
      </w:r>
    </w:p>
    <w:p w:rsidR="001B7B4F" w:rsidRPr="00386DCA" w:rsidRDefault="001B7B4F" w:rsidP="002E0F55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  <w:r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I bar p</w:t>
      </w:r>
      <w:r w:rsid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ossono rimettere a disposizione</w:t>
      </w:r>
      <w:r w:rsidRP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> all'interno/esterno dei locali i quotidiani in libera lettura?</w:t>
      </w:r>
      <w:r w:rsidR="002E0F55"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</w:p>
    <w:p w:rsidR="00386DCA" w:rsidRPr="00386DCA" w:rsidRDefault="00386DCA" w:rsidP="00386DCA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</w:pPr>
      <w:r w:rsidRPr="00386DCA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Non ci sono stati divieti espressi nel protocollo regionale</w:t>
      </w:r>
      <w:r w:rsidR="00C444B5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>,</w:t>
      </w:r>
      <w:r w:rsidRPr="00386DCA">
        <w:rPr>
          <w:rFonts w:ascii="Calibri" w:eastAsia="Times New Roman" w:hAnsi="Calibri" w:cs="Calibri"/>
          <w:color w:val="201F1E"/>
          <w:sz w:val="24"/>
          <w:szCs w:val="24"/>
          <w:bdr w:val="none" w:sz="0" w:space="0" w:color="auto" w:frame="1"/>
          <w:lang w:eastAsia="it-IT"/>
        </w:rPr>
        <w:t xml:space="preserve"> ma solo raccomandazioni in tal senso da parte delle autorità sanitarie.</w:t>
      </w:r>
    </w:p>
    <w:p w:rsidR="001B7B4F" w:rsidRPr="00386DCA" w:rsidRDefault="001B7B4F" w:rsidP="00386DCA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E45264" w:rsidRPr="00E45264" w:rsidRDefault="00E45264" w:rsidP="00E452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sz w:val="24"/>
          <w:szCs w:val="24"/>
          <w:bdr w:val="none" w:sz="0" w:space="0" w:color="auto" w:frame="1"/>
          <w:lang w:eastAsia="it-IT"/>
        </w:rPr>
      </w:pPr>
    </w:p>
    <w:p w:rsidR="006B3E53" w:rsidRPr="00FC5830" w:rsidRDefault="006B3E53" w:rsidP="00FC5830">
      <w:pPr>
        <w:jc w:val="both"/>
        <w:rPr>
          <w:rFonts w:ascii="Calibri" w:eastAsia="Times New Roman" w:hAnsi="Calibri" w:cs="Calibri"/>
          <w:color w:val="201F1E"/>
          <w:sz w:val="24"/>
          <w:szCs w:val="24"/>
          <w:lang w:eastAsia="it-IT"/>
        </w:rPr>
      </w:pPr>
    </w:p>
    <w:sectPr w:rsidR="006B3E53" w:rsidRPr="00FC58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F1" w:rsidRDefault="00C576F1" w:rsidP="00732E4B">
      <w:pPr>
        <w:spacing w:after="0" w:line="240" w:lineRule="auto"/>
      </w:pPr>
      <w:r>
        <w:separator/>
      </w:r>
    </w:p>
  </w:endnote>
  <w:endnote w:type="continuationSeparator" w:id="0">
    <w:p w:rsidR="00C576F1" w:rsidRDefault="00C576F1" w:rsidP="0073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254646"/>
      <w:docPartObj>
        <w:docPartGallery w:val="Page Numbers (Bottom of Page)"/>
        <w:docPartUnique/>
      </w:docPartObj>
    </w:sdtPr>
    <w:sdtEndPr/>
    <w:sdtContent>
      <w:p w:rsidR="00732E4B" w:rsidRDefault="00732E4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4B5">
          <w:rPr>
            <w:noProof/>
          </w:rPr>
          <w:t>3</w:t>
        </w:r>
        <w:r>
          <w:fldChar w:fldCharType="end"/>
        </w:r>
      </w:p>
    </w:sdtContent>
  </w:sdt>
  <w:p w:rsidR="00732E4B" w:rsidRDefault="00732E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F1" w:rsidRDefault="00C576F1" w:rsidP="00732E4B">
      <w:pPr>
        <w:spacing w:after="0" w:line="240" w:lineRule="auto"/>
      </w:pPr>
      <w:r>
        <w:separator/>
      </w:r>
    </w:p>
  </w:footnote>
  <w:footnote w:type="continuationSeparator" w:id="0">
    <w:p w:rsidR="00C576F1" w:rsidRDefault="00C576F1" w:rsidP="0073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E0F5C"/>
    <w:multiLevelType w:val="hybridMultilevel"/>
    <w:tmpl w:val="21564CD0"/>
    <w:lvl w:ilvl="0" w:tplc="450C6934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D6E3A"/>
    <w:multiLevelType w:val="hybridMultilevel"/>
    <w:tmpl w:val="9BD6C800"/>
    <w:lvl w:ilvl="0" w:tplc="A5E26B4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70F7F"/>
    <w:multiLevelType w:val="hybridMultilevel"/>
    <w:tmpl w:val="56A68A0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0730A1"/>
    <w:multiLevelType w:val="hybridMultilevel"/>
    <w:tmpl w:val="11A8B44E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FE"/>
    <w:rsid w:val="00031346"/>
    <w:rsid w:val="000404E2"/>
    <w:rsid w:val="0005568C"/>
    <w:rsid w:val="000A03FE"/>
    <w:rsid w:val="001420BB"/>
    <w:rsid w:val="001634F7"/>
    <w:rsid w:val="001B7B4F"/>
    <w:rsid w:val="001F5F2D"/>
    <w:rsid w:val="00205BE1"/>
    <w:rsid w:val="00207D70"/>
    <w:rsid w:val="002564AE"/>
    <w:rsid w:val="002961B7"/>
    <w:rsid w:val="002E0F55"/>
    <w:rsid w:val="0033298B"/>
    <w:rsid w:val="00341A48"/>
    <w:rsid w:val="00355A26"/>
    <w:rsid w:val="00376707"/>
    <w:rsid w:val="00386DCA"/>
    <w:rsid w:val="003C5352"/>
    <w:rsid w:val="003C7AE9"/>
    <w:rsid w:val="004178AF"/>
    <w:rsid w:val="004527F4"/>
    <w:rsid w:val="005001B3"/>
    <w:rsid w:val="0051227A"/>
    <w:rsid w:val="00586C9F"/>
    <w:rsid w:val="005B180D"/>
    <w:rsid w:val="006202F1"/>
    <w:rsid w:val="006226C6"/>
    <w:rsid w:val="006B3E53"/>
    <w:rsid w:val="006D3B13"/>
    <w:rsid w:val="0070687C"/>
    <w:rsid w:val="00713F17"/>
    <w:rsid w:val="00732E4B"/>
    <w:rsid w:val="007808FD"/>
    <w:rsid w:val="007F18D7"/>
    <w:rsid w:val="00820098"/>
    <w:rsid w:val="008269AC"/>
    <w:rsid w:val="00870E21"/>
    <w:rsid w:val="008D2E26"/>
    <w:rsid w:val="009313EB"/>
    <w:rsid w:val="009344E0"/>
    <w:rsid w:val="00935E48"/>
    <w:rsid w:val="00977FD9"/>
    <w:rsid w:val="009C2560"/>
    <w:rsid w:val="009E5599"/>
    <w:rsid w:val="00A03873"/>
    <w:rsid w:val="00A316B6"/>
    <w:rsid w:val="00AB4BCF"/>
    <w:rsid w:val="00B00DE1"/>
    <w:rsid w:val="00B543A8"/>
    <w:rsid w:val="00BA6BA9"/>
    <w:rsid w:val="00BB54E4"/>
    <w:rsid w:val="00C14099"/>
    <w:rsid w:val="00C251F3"/>
    <w:rsid w:val="00C3796B"/>
    <w:rsid w:val="00C444B5"/>
    <w:rsid w:val="00C52556"/>
    <w:rsid w:val="00C576F1"/>
    <w:rsid w:val="00CA1BC1"/>
    <w:rsid w:val="00D36495"/>
    <w:rsid w:val="00DC65B9"/>
    <w:rsid w:val="00E15CFB"/>
    <w:rsid w:val="00E24795"/>
    <w:rsid w:val="00E45264"/>
    <w:rsid w:val="00E61A8D"/>
    <w:rsid w:val="00EB22A0"/>
    <w:rsid w:val="00F24406"/>
    <w:rsid w:val="00F348AE"/>
    <w:rsid w:val="00FC5830"/>
    <w:rsid w:val="00FD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730D"/>
  <w15:chartTrackingRefBased/>
  <w15:docId w15:val="{A476A259-CD54-4DB8-8BDD-33777F14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A0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A03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B5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808F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3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4B"/>
  </w:style>
  <w:style w:type="paragraph" w:styleId="Pidipagina">
    <w:name w:val="footer"/>
    <w:basedOn w:val="Normale"/>
    <w:link w:val="PidipaginaCarattere"/>
    <w:uiPriority w:val="99"/>
    <w:unhideWhenUsed/>
    <w:rsid w:val="00732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4B"/>
  </w:style>
  <w:style w:type="paragraph" w:customStyle="1" w:styleId="xmsonormal">
    <w:name w:val="x_msonormal"/>
    <w:basedOn w:val="Normale"/>
    <w:rsid w:val="006B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vestrucci</dc:creator>
  <cp:keywords/>
  <dc:description/>
  <cp:lastModifiedBy>Galiotto Sabrina</cp:lastModifiedBy>
  <cp:revision>11</cp:revision>
  <dcterms:created xsi:type="dcterms:W3CDTF">2020-06-04T07:25:00Z</dcterms:created>
  <dcterms:modified xsi:type="dcterms:W3CDTF">2020-06-08T07:59:00Z</dcterms:modified>
</cp:coreProperties>
</file>